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</w:t>
            </w:r>
          </w:p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(в ред. от 19.03.2025 № 81)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end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end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end="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Шарыпово, ПОСТАНОВЛЯЮ:</w:t>
      </w:r>
    </w:p>
    <w:p>
      <w:pPr>
        <w:pStyle w:val="Style21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19.03.2025 № 81) следующие изменения:</w:t>
      </w:r>
    </w:p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«157047,31; 25023,30; 144495,75; 14961,90» заменить цифрами «156447,31;  24423,30; 143895,75; 14361,90» соответственно.</w:t>
      </w:r>
    </w:p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1.2.  В Приложении № 1 «Подпрограмма «Развитие земельных и имущественных отношений» к муниципальной программе «Управление муниципальным имуществом муниципального образования города Шарыпово»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</w:t>
      </w:r>
      <w:r>
        <w:rPr/>
        <w:t>изложить в следующей редакции: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77"/>
        <w:gridCol w:w="4679"/>
      </w:tblGrid>
      <w:tr>
        <w:trPr/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start="0" w:end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 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4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объем финансирования подпрограммы составляет: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24 686,61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Из них: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средства краевого бюджета – 8 362,40 тыс. рублей, в том числе по годам: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 – 8 362,40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 – 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 – 0,00 тыс. рублей.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бюджет города Шарыпово – 16 324,21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2014 году – 615,02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2015 году – 700,00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2016 году – 1 013,51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2017 году – 859,40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2018 году – 700,00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2019 году – 839,21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2020 году – 1 338,70 тыс. рублей;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 xml:space="preserve">в 2021 году – 2 570,00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2022 году – 989,67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2023 году – 936,10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2024 году – 812,60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2025 году – 850,00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2026 году – 2 050,00 тыс. рублей;</w:t>
            </w:r>
          </w:p>
          <w:p>
            <w:pPr>
              <w:pStyle w:val="Style21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start="0" w:end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 2027 году – 2 050,00 тыс. рублей.</w:t>
            </w:r>
          </w:p>
        </w:tc>
      </w:tr>
    </w:tbl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 строку 1.2.2., изложить в следующей редакции: </w:t>
      </w:r>
    </w:p>
    <w:tbl>
      <w:tblPr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1"/>
        <w:gridCol w:w="2942"/>
        <w:gridCol w:w="1062"/>
        <w:gridCol w:w="1560"/>
        <w:gridCol w:w="856"/>
        <w:gridCol w:w="902"/>
        <w:gridCol w:w="826"/>
        <w:gridCol w:w="782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Цель, показатели результативности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 информации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Годы реализации программы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2027 год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Цель подпрограммы: </w:t>
            </w:r>
            <w:r>
              <w:rPr>
                <w:sz w:val="14"/>
                <w:szCs w:val="14"/>
              </w:rPr>
              <w:t>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государственная </w:t>
            </w:r>
            <w:r>
              <w:rPr>
                <w:sz w:val="14"/>
                <w:szCs w:val="14"/>
              </w:rPr>
              <w:t>регистрация права муниципальной собственности на объекты недвижимости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1.2.2.</w:t>
            </w:r>
          </w:p>
        </w:tc>
        <w:tc>
          <w:tcPr>
            <w:tcW w:w="2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Инвентаризация земельных участков</w:t>
            </w:r>
          </w:p>
        </w:tc>
        <w:tc>
          <w:tcPr>
            <w:tcW w:w="1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Приложение № 2 «Перечень мероприятий подпрограммы «Развитие земельных и имущественных отношений» к подпрограмме «Развитие земельных и имущественных отношений» строку 7, итого по подпрограмме изложить в следующей редакции: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"/>
        <w:gridCol w:w="1881"/>
        <w:gridCol w:w="1560"/>
        <w:gridCol w:w="283"/>
        <w:gridCol w:w="425"/>
        <w:gridCol w:w="993"/>
        <w:gridCol w:w="425"/>
        <w:gridCol w:w="709"/>
        <w:gridCol w:w="567"/>
        <w:gridCol w:w="567"/>
        <w:gridCol w:w="708"/>
        <w:gridCol w:w="851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5" w:end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68" w:end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Услуги по инвентаризации земельных участков в рамках подпрограммы "Развитие земельных и имущественных отношений"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4" w:end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КУМИ Администрации </w:t>
            </w:r>
          </w:p>
          <w:p>
            <w:pPr>
              <w:pStyle w:val="Normal"/>
              <w:ind w:start="-114" w:end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0" w:end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1" w:end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98" w:end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1010089970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62" w:end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1 200,00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1 200,00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4" w:end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2 400,00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0" w:end="-100"/>
              <w:jc w:val="center"/>
              <w:rPr/>
            </w:pPr>
            <w:r>
              <w:rPr>
                <w:sz w:val="16"/>
                <w:szCs w:val="16"/>
              </w:rPr>
              <w:t>2025год-0;</w:t>
            </w:r>
          </w:p>
          <w:p>
            <w:pPr>
              <w:pStyle w:val="Normal"/>
              <w:ind w:start="-110" w:end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2026год-1;</w:t>
            </w:r>
          </w:p>
          <w:p>
            <w:pPr>
              <w:pStyle w:val="Normal"/>
              <w:ind w:start="-110" w:end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2027год-1.</w:t>
            </w:r>
          </w:p>
        </w:tc>
      </w:tr>
      <w:tr>
        <w:trPr>
          <w:trHeight w:val="272" w:hRule="atLeast"/>
        </w:trPr>
        <w:tc>
          <w:tcPr>
            <w:tcW w:w="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05" w:end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68" w:end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14" w:end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20" w:end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01" w:end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98" w:end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62" w:end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9 212,40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4" w:end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13 312,40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-110" w:end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«130727,87; 14610,90; 126538,71; 12911,90» заменить цифрами «131327,87; 15210,90; 127138,71; 13511,90» соответственно.   </w:t>
      </w:r>
    </w:p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итого по подпрограмме изложить в следующей редакции:</w:t>
      </w:r>
    </w:p>
    <w:tbl>
      <w:tblPr>
        <w:tblW w:w="9782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0"/>
        <w:gridCol w:w="2071"/>
        <w:gridCol w:w="1134"/>
        <w:gridCol w:w="567"/>
        <w:gridCol w:w="709"/>
        <w:gridCol w:w="1134"/>
        <w:gridCol w:w="425"/>
        <w:gridCol w:w="709"/>
        <w:gridCol w:w="708"/>
        <w:gridCol w:w="709"/>
        <w:gridCol w:w="709"/>
        <w:gridCol w:w="567"/>
      </w:tblGrid>
      <w:tr>
        <w:trPr>
          <w:trHeight w:val="1020" w:hRule="atLeast"/>
        </w:trPr>
        <w:tc>
          <w:tcPr>
            <w:tcW w:w="3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bookmarkStart w:id="4" w:name="_Hlk158136975"/>
            <w:bookmarkEnd w:id="4"/>
            <w:r>
              <w:rPr>
                <w:sz w:val="14"/>
                <w:szCs w:val="1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bookmarkStart w:id="5" w:name="_Hlk177046405"/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81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start="-108" w:end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start="-108" w:end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start="-108" w:end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4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11 432,77 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0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10 832,67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3" w:end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10 982,67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33 248,11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start="-108" w:end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10" w:end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0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3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699,30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с 01.01.2025 года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</w:t>
            </w:r>
          </w:p>
          <w:p>
            <w:pPr>
              <w:pStyle w:val="Normal"/>
              <w:ind w:start="-107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</w:t>
            </w:r>
          </w:p>
          <w:p>
            <w:pPr>
              <w:pStyle w:val="Normal"/>
              <w:ind w:start="-107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877,30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0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3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2 632,10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/>
            </w:pPr>
            <w:r>
              <w:rPr>
                <w:sz w:val="14"/>
                <w:szCs w:val="14"/>
              </w:rPr>
              <w:t>121; 129.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7" w:end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0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3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15 210,90 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13" w:end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1.1.,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5"/>
        <w:gridCol w:w="20"/>
        <w:gridCol w:w="992"/>
        <w:gridCol w:w="1134"/>
        <w:gridCol w:w="1134"/>
        <w:gridCol w:w="425"/>
        <w:gridCol w:w="567"/>
        <w:gridCol w:w="1134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end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8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1" w:end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3" w:end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961,9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111,90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3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/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/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/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68" w:hRule="atLeast"/>
        </w:trPr>
        <w:tc>
          <w:tcPr>
            <w:tcW w:w="4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1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3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3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/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3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/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7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end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8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1" w:end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3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</w:tr>
      <w:tr>
        <w:trPr>
          <w:trHeight w:val="411" w:hRule="atLeast"/>
        </w:trPr>
        <w:tc>
          <w:tcPr>
            <w:tcW w:w="37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/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0" w:end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4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4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4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4" w:end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14" w:end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41 184,70</w:t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1,2,3, изложить в следующей редакции:</w:t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/>
            </w:pPr>
            <w:r>
              <w:rPr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2025-2027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24 423,30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54 497,10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14 361,90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44 435,70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9 212,40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13 312,40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4 950,00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start="-108" w:end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15 210,90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39 485,70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13 511,90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108" w:end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39 485,70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start="0" w:end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end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autoSpaceDE w:val="false"/>
        <w:ind w:firstLine="540" w:end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end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Normal"/>
        <w:ind w:hanging="0" w:end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widowControl w:val="false"/>
        <w:autoSpaceDE w:val="false"/>
        <w:ind w:hanging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Wingdings">
    <w:charset w:val="02"/>
    <w:family w:val="auto"/>
    <w:pitch w:val="variable"/>
  </w:font>
  <w:font w:name="Courier New">
    <w:charset w:val="cc" w:characterSet="windows-1251"/>
    <w:family w:val="modern"/>
    <w:pitch w:val="default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end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930" w:hanging="360"/>
      </w:p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425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56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055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9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685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318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3315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start="0" w:end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>
      <w:sz w:val="20"/>
      <w:szCs w:val="20"/>
    </w:rPr>
  </w:style>
  <w:style w:type="paragraph" w:styleId="Style22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3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start="0" w:end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start="720" w:end="0"/>
    </w:pPr>
    <w:rPr>
      <w:sz w:val="20"/>
      <w:szCs w:val="20"/>
    </w:rPr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Application>LibreOffice/24.2.7.2$Linux_X86_64 LibreOffice_project/420$Build-2</Application>
  <AppVersion>15.0000</AppVersion>
  <Pages>4</Pages>
  <Words>1344</Words>
  <Characters>8814</Characters>
  <CharactersWithSpaces>15602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2025-04-08T13:06:00Z</cp:lastPrinted>
  <dcterms:modified xsi:type="dcterms:W3CDTF">2025-04-08T13:26:07Z</dcterms:modified>
  <cp:revision>111</cp:revision>
  <dc:subject/>
  <dc:title>Приложение 2</dc:title>
</cp:coreProperties>
</file>