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11.11.2022</w:t>
        <w:tab/>
        <w:tab/>
        <w:tab/>
        <w:tab/>
        <w:tab/>
        <w:tab/>
        <w:tab/>
        <w:tab/>
        <w:tab/>
        <w:tab/>
        <w:tab/>
        <w:t>№ 371</w:t>
      </w:r>
      <w:bookmarkStart w:id="0" w:name="_GoBack"/>
      <w:bookmarkEnd w:id="0"/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город Шарыпово» (в редакции от 10.10.2022 №311)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город Шарыпово»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Приложение к постановлению изменить, изложить в новой редакции согласно приложению,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pageBreakBefore w:val="false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ind w:firstLine="510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к Постановлению</w:t>
      </w:r>
    </w:p>
    <w:p>
      <w:pPr>
        <w:pStyle w:val="ConsPlusNormal"/>
        <w:widowControl/>
        <w:numPr>
          <w:ilvl w:val="0"/>
          <w:numId w:val="0"/>
        </w:numPr>
        <w:ind w:firstLine="5103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Администрации города Шарыпово</w:t>
      </w:r>
    </w:p>
    <w:p>
      <w:pPr>
        <w:pStyle w:val="Normal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от 11.11.2022 № 371</w:t>
      </w:r>
    </w:p>
    <w:p>
      <w:pPr>
        <w:pStyle w:val="Normal"/>
        <w:ind w:firstLine="5103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</w:r>
    </w:p>
    <w:p>
      <w:pPr>
        <w:pStyle w:val="Normal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«Приложение к Постановлению</w:t>
      </w:r>
    </w:p>
    <w:p>
      <w:pPr>
        <w:pStyle w:val="ConsPlusNormal"/>
        <w:widowControl/>
        <w:numPr>
          <w:ilvl w:val="0"/>
          <w:numId w:val="0"/>
        </w:numPr>
        <w:ind w:firstLine="5103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Администрации города Шарыпово</w:t>
      </w:r>
    </w:p>
    <w:p>
      <w:pPr>
        <w:pStyle w:val="Normal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04.10.2013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241»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autoSpaceDE w:val="fals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autoSpaceDE w:val="fals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Муниципальная программа</w:t>
      </w:r>
    </w:p>
    <w:p>
      <w:pPr>
        <w:pStyle w:val="Normal"/>
        <w:spacing w:lineRule="atLeast" w:line="23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транспортной системы муниципального образования</w:t>
      </w:r>
    </w:p>
    <w:p>
      <w:pPr>
        <w:pStyle w:val="Normal"/>
        <w:spacing w:lineRule="atLeast" w:line="23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город Шарыпово </w:t>
      </w:r>
    </w:p>
    <w:p>
      <w:pPr>
        <w:pStyle w:val="Normal"/>
        <w:spacing w:lineRule="atLeast" w:line="23" w:before="240" w:after="2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 Паспорт муниципальной программы</w:t>
      </w:r>
    </w:p>
    <w:tbl>
      <w:tblPr>
        <w:tblW w:w="94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транспортной системы муниципального образования город Шарыпово (далее – программа)</w:t>
            </w:r>
          </w:p>
        </w:tc>
      </w:tr>
      <w:tr>
        <w:trPr>
          <w:trHeight w:val="355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Администрации города Шарыпово от 24.06.2022 № 1153 «Об утверждении Перечня муниципальных программ муниципального образования города Шарыпово на 2023-2025 годы»</w:t>
            </w:r>
          </w:p>
        </w:tc>
      </w:tr>
      <w:tr>
        <w:trPr>
          <w:trHeight w:val="1346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казенное учреждение</w:t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«Служба городского хозяйства»</w:t>
            </w:r>
          </w:p>
        </w:tc>
      </w:tr>
      <w:tr>
        <w:trPr>
          <w:trHeight w:val="1177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Администрация города Шарыпово;</w:t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92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Подпрограмма: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Обеспечение сохранности, модернизация и развитие сети автомобильных дорог;</w:t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Повышение безопасности дорожного движения.</w:t>
            </w:r>
          </w:p>
        </w:tc>
      </w:tr>
      <w:tr>
        <w:trPr>
          <w:trHeight w:val="111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Развитие современной и эффективной транспортной инфраструктуры, обеспечение безопасности дорожного движения.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1.Обеспечение сохранности, модернизация и развитие сети автомобильных дорог;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0" w:after="160"/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Безопасность дорожного движения и повышение доступности транспортных услуг для населения муниципального образования город Шарыпово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2014-2025 гг.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Перечень целевых показателей муниципальной программы,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№1 к Паспорту муниципальной программы</w:t>
            </w:r>
          </w:p>
        </w:tc>
      </w:tr>
      <w:tr>
        <w:trPr>
          <w:trHeight w:val="91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программы в 2014 - 2025 годах предусматривает финансирование – 816 218,72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 г. – 31 209,47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городского округа г.Шарыпово (далее по тексту программы – Бюджет города Шарыпово) – 16 729,87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14 479,60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 г. – 55 198,81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21 730,61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33 468,20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2016 г. – 56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947,11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27 145,71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29 801,40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 г. – 53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777,03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21 558,93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32 218,10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 г. – 53 341,76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21 483,86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31 857,90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2019 г. – 66 229,61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23 072,31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43 157,30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 г. – 71 627,51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31 151,56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40 475,95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 г. – 76 569,57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35 558,57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41 011,00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 г. – 117 807,31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82 010,51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35 796,80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 г. – 77 584,48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77 584,48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 г. – 77 830,68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77 830,68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 г. – 78 095,38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78 095,38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Объемы и источники финансирования ежегодно корректируются, исходя из имеющихся возможностей бюджета</w:t>
            </w:r>
          </w:p>
        </w:tc>
      </w:tr>
    </w:tbl>
    <w:p>
      <w:pPr>
        <w:pStyle w:val="Normal"/>
        <w:spacing w:lineRule="atLeast" w:line="23" w:before="240" w:after="240"/>
        <w:ind w:right="-17" w:firstLine="601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r>
    </w:p>
    <w:p>
      <w:pPr>
        <w:pStyle w:val="Normal"/>
        <w:spacing w:lineRule="atLeast" w:line="23" w:before="240" w:after="240"/>
        <w:ind w:right="-17" w:firstLine="601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2. Характирискика текущего состояния дорожного хозяйства с указанием основных показателей социально-экономического развития муниципального образования 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Протяженность автомобильных дорог общего пользования на территории муниципального образования составляет 208,1 км., в том числе с твердым покрытием – 196,0 км. Автомобильные дороги с усовершенствованным типом покрытия в объеме 140,2 км. Протяженность грунтовых дорог составляет 12,1 км. Удельный вес автомобильных дорог с твердым покрытием в общей протяженности автомобильных дорог общего пользования составляет 94%.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Также на территории муниципального образования имеется 9 мостов, в том числе 5 автомобильных и 4 пешеходных. Плотность автомобильных дорог общего пользования с твердым покрытием составляет 0,05 километров дорог на 1000 квадратных метров территории;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целях организации дорожного движения в настоящее время на перекрестках дорог в городе Шарыпово установлено 19 светофорных объектов (в том числе 5 – Т7). На территории города Шарыпово, поселков Дубинино и Горячегорск установлено около 2105 знаков с дорожной информацией, имеются щиты маршрутного ориентирования. 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Основной проблемой дорожного комплекса на протяжении длительного периода времени является недостаточное финансирование данного направления.</w:t>
      </w:r>
    </w:p>
    <w:p>
      <w:pPr>
        <w:sectPr>
          <w:type w:val="nextPage"/>
          <w:pgSz w:w="11906" w:h="16838"/>
          <w:pgMar w:left="1701" w:right="851" w:gutter="0" w:header="0" w:top="907" w:footer="0" w:bottom="907"/>
          <w:pgNumType w:fmt="decimal"/>
          <w:formProt w:val="false"/>
          <w:textDirection w:val="lrTb"/>
          <w:docGrid w:type="default" w:linePitch="360" w:charSpace="4096"/>
        </w:sect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2008 года муниципальное образование получает субсидии краевого бюджета на ремонт автомобильных дорог. За эти годы выполнен ремонт 18% площади дорог с усовершенствованным покрытием. Так же требуют ремонта и многие тротуары, построенные более 30 лет назад. На улицах малоэтажной</w:t>
      </w:r>
    </w:p>
    <w:p>
      <w:pPr>
        <w:pStyle w:val="Normal"/>
        <w:tabs>
          <w:tab w:val="clear" w:pos="708"/>
          <w:tab w:val="left" w:pos="5040" w:leader="none"/>
        </w:tabs>
        <w:ind w:right="-17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застройки, построенных в последние годы, отсутствуют как дороги с твердым покрытием, тротуары, так и часть сетей уличного освещения. Требуют реконструкции мосты через реку на улицах Октябрьская и Ленина, которые построены более 60лет назад. 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Муниципальное образование не располагает необходимыми финансовыми ресурсами не только для ремонта и реконструкции, но и для обеспечения всего комплекса работ по содержанию автодорог.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Количественный рост автомобильного парка и современных транспортных средств приводит к ускоренному износу и преждевременному разрушению автомобильных дорог и искусственных сооружений на них. 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целях повышения безопасности дорожного движения в бюджете города Шарыпово выделяются средства на выполнение работ по организации безопасности дорожного движения: содержание и ремонт существующих средств регулирования дорожного движения. Разработаны проекты организации дорожного движения. </w:t>
      </w:r>
    </w:p>
    <w:p>
      <w:pPr>
        <w:pStyle w:val="Normal"/>
        <w:widowControl w:val="false"/>
        <w:autoSpaceDE w:val="false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Таким образом, реализация данной программы позволит не только поддерживать существующие автомобильные дороги и средства регулирования дорожного движения, но и проводить работы по развитию и модернизации улично-дорожной сети.</w:t>
      </w:r>
    </w:p>
    <w:p>
      <w:pPr>
        <w:pStyle w:val="Normal"/>
        <w:spacing w:lineRule="atLeast" w:line="23" w:before="240" w:after="240"/>
        <w:ind w:right="-17" w:hanging="0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3. Приоритеты и цели социально-экономического в сфере дорожного хозяйства, описание основных целей и задач муниципальной программы, тенденции развития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Целью программы является:</w:t>
      </w:r>
    </w:p>
    <w:p>
      <w:pPr>
        <w:pStyle w:val="Normal"/>
        <w:autoSpaceDE w:val="false"/>
        <w:spacing w:lineRule="atLeast" w:line="2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развитие современной и эффективной транспортной инфраструктуры.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обеспечивается, прежде всего, сохранением и модернизацией существующей сети автодорог за счет проведения комплекса работ по их содержанию, ремонту, а также повышением надежности и безопасности движения на автомобильных дорогах.</w:t>
      </w:r>
    </w:p>
    <w:p>
      <w:pPr>
        <w:pStyle w:val="Normal"/>
        <w:autoSpaceDE w:val="false"/>
        <w:spacing w:lineRule="atLeast" w:line="2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Достижение целей программы осуществляется путем решения следующих задач:</w:t>
      </w:r>
    </w:p>
    <w:p>
      <w:pPr>
        <w:pStyle w:val="Normal"/>
        <w:autoSpaceDE w:val="false"/>
        <w:spacing w:lineRule="atLeast" w:line="2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Задача1.</w:t>
      </w:r>
      <w:r>
        <w:rPr>
          <w:rFonts w:ascii="Times New Roman" w:hAnsi="Times New Roman"/>
          <w:color w:val="000000"/>
          <w:sz w:val="24"/>
          <w:szCs w:val="24"/>
        </w:rPr>
        <w:t xml:space="preserve"> Обеспечение сохранности, модернизация и развитие сети автомобильных дорог:</w:t>
      </w:r>
    </w:p>
    <w:p>
      <w:pPr>
        <w:pStyle w:val="Normal"/>
        <w:autoSpaceDE w:val="false"/>
        <w:spacing w:lineRule="atLeast" w:line="2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Задача 2. </w:t>
      </w:r>
      <w:r>
        <w:rPr>
          <w:rFonts w:ascii="Times New Roman" w:hAnsi="Times New Roman"/>
          <w:color w:val="000000"/>
          <w:sz w:val="24"/>
          <w:szCs w:val="24"/>
        </w:rPr>
        <w:t>Безопасность дорожного движения и повышение доступности транспортных услуг для населения муниципального образования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результате решения вышеуказанных задач уровень оказываемых услуг в части обеспечения комфортности, мобильности, безопасности и доступности, автомобильных дорог существенно повысится.</w:t>
      </w:r>
    </w:p>
    <w:p>
      <w:pPr>
        <w:pStyle w:val="Normal"/>
        <w:spacing w:before="240" w:after="12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4. Прогноз конечных результатов реализации муниципальной программы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характеризующих целевое состояние (изменение состояния) уровня и качества жизни населения, социально-экономическое развитие </w:t>
      </w: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в сфере дорожного хозяйства</w:t>
      </w:r>
      <w:r>
        <w:rPr>
          <w:rFonts w:ascii="Times New Roman" w:hAnsi="Times New Roman"/>
          <w:b/>
          <w:sz w:val="24"/>
          <w:szCs w:val="24"/>
          <w:lang w:val="ru-RU"/>
        </w:rPr>
        <w:t>, экономики, степени реализации других общественно значимых интересов</w:t>
      </w:r>
    </w:p>
    <w:p>
      <w:pPr>
        <w:pStyle w:val="Normal"/>
        <w:ind w:firstLine="708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Конечными результатами реализации программы являются:</w:t>
      </w:r>
    </w:p>
    <w:p>
      <w:pPr>
        <w:pStyle w:val="Normal"/>
        <w:widowControl w:val="false"/>
        <w:autoSpaceDE w:val="false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обеспечение доступности и качества транспортных услуг для населения в соответствии с социальными стандартами, что означает повышение значимости транспорта в решении социальных задач;</w:t>
      </w:r>
    </w:p>
    <w:p>
      <w:pPr>
        <w:pStyle w:val="Normal"/>
        <w:widowControl w:val="false"/>
        <w:autoSpaceDE w:val="false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повышение уровня безопасности транспортной системы и снижение вредного воздействия на окружающую среду;</w:t>
      </w:r>
    </w:p>
    <w:p>
      <w:pPr>
        <w:pStyle w:val="Normal"/>
        <w:widowControl w:val="false"/>
        <w:autoSpaceDE w:val="false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и обслуживание дорожной сети для обеспечения потребностей экономики и населения края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</w:p>
    <w:p>
      <w:pPr>
        <w:pStyle w:val="Normal"/>
        <w:autoSpaceDE w:val="false"/>
        <w:spacing w:lineRule="atLeast" w:line="2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</w:p>
    <w:p>
      <w:pPr>
        <w:pStyle w:val="Normal"/>
        <w:overflowPunct w:val="false"/>
        <w:autoSpaceDE w:val="false"/>
        <w:spacing w:before="240" w:after="240"/>
        <w:ind w:firstLine="851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5. Информация по подпрограммам, отдельным мероприятиям муниципальной программы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Подпрограмма 1.</w:t>
      </w:r>
      <w:r>
        <w:rPr>
          <w:rFonts w:ascii="Times New Roman" w:hAnsi="Times New Roman"/>
          <w:color w:val="000000"/>
          <w:sz w:val="24"/>
          <w:szCs w:val="24"/>
        </w:rPr>
        <w:t xml:space="preserve"> - Обеспечение сохранности, модернизация и развитие сети автомобильных дорог.</w:t>
      </w:r>
    </w:p>
    <w:p>
      <w:pPr>
        <w:pStyle w:val="Normal"/>
        <w:autoSpaceDE w:val="false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реализации подпрограммы – 2014-2025 годы.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Подпрограмма позволит реализовать проведение социально-значимых мероприятий по обеспечению сохранности, развитию современной и эффективной транспортной инфраструктуры.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Протяженность автомобильных дорог общего пользования на территории муниципального образования составляет 208,1 км., в том числе с твердым покрытием – 196,0 км. Автомобильные дороги с усовершенствованным типом покрытия в объеме 140,2 км. Протяженность грунтовых дорог составляет 12,1 км. Удельный вес автомобильных дорог с твердым покрытием в общей протяженности автомобильных дорог общего пользования составляет 94%.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Также на территории муниципального образования имеется 9 мостов, в том числе 5 автомобильных и 4 пешеходных. Плотность автомобильных дорог общего пользования с твердым покрытием составляет 0,05 километров дорог на 1000 квадратных метров территории.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Основной проблемой дорожной деятельности на протяжении длительного периода времени является недостаточное финансирование.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Муниципальное образование не располагает необходимыми финансовыми ресурсами не только для ремонта и реконструкции, но и для обеспечения всего комплекса работ по содержанию автодорог.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Количественный рост автомобильного парка и современных транспортных средств приводит к ускоренному износу и преждевременному разрушению автомобильных дорог и искусственных сооружений на них. 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сложившихся условиях в целях обеспечения сохранности автомобильных дорог местного значения, муниципальное образование получает субсидии краевого бюджета на содержание и ремонт автомобильных дорог местного значения в рамках реализации мероприятий краевой целевой программы «Дороги Красноярья».</w:t>
      </w:r>
    </w:p>
    <w:p>
      <w:pPr>
        <w:pStyle w:val="Normal"/>
        <w:widowControl w:val="false"/>
        <w:autoSpaceDE w:val="false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Таким образом, реализация данной подпрограммы позволит не только поддерживать существующие автомобильные дороги и средства регулирования дорожного движения, но и проводить работы по развитию и модернизации улично-дорожной сети муниципального образования город Шарыпово.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Цель подпрограммы: 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Обеспечение сохранности, развитие современной и эффективной транспортной инфраструктуры.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Задачи подпрограммы: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выполнение текущих регламентных работ по содержанию автомобильных дорог общего пользования местного значения и искусственных сооружений на них;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выполнение работ по ремонту автомобильных дорог общего пользования местного значения и искусственных сооружений на них.</w:t>
      </w:r>
    </w:p>
    <w:p>
      <w:pPr>
        <w:pStyle w:val="Normal"/>
        <w:tabs>
          <w:tab w:val="clear" w:pos="708"/>
          <w:tab w:val="left" w:pos="1274" w:leader="none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Реализация подпрограммы позволит достичь следующих результатов:</w:t>
      </w:r>
    </w:p>
    <w:p>
      <w:pPr>
        <w:pStyle w:val="Normal"/>
        <w:ind w:right="5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обеспечение доли протяженности автомобильных дорог общего пользования местного значения, работы,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на уровне 44,9% к 2025 году;</w:t>
      </w:r>
    </w:p>
    <w:p>
      <w:pPr>
        <w:pStyle w:val="Normal"/>
        <w:ind w:right="5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увеличить долю площади автомобильных дорог общего пользования местного значения, на которой проведены работы по ремонту в общей протяженности сети до 20 % к 2025 году.</w:t>
      </w:r>
    </w:p>
    <w:p>
      <w:pPr>
        <w:pStyle w:val="Normal"/>
        <w:widowControl w:val="false"/>
        <w:autoSpaceDE w:val="false"/>
        <w:ind w:firstLine="709"/>
        <w:jc w:val="both"/>
        <w:rPr/>
      </w:pPr>
      <w:hyperlink w:anchor="P2942">
        <w:r>
          <w:rPr>
            <w:rStyle w:val="-"/>
            <w:rFonts w:eastAsia="Calibri" w:ascii="Times New Roman" w:hAnsi="Times New Roman"/>
            <w:color w:val="000000"/>
            <w:sz w:val="24"/>
            <w:szCs w:val="24"/>
            <w:lang w:eastAsia="en-US"/>
          </w:rPr>
          <w:t>Подпрограмма 1</w:t>
        </w:r>
      </w:hyperlink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  <w:t xml:space="preserve"> приведена в приложении № 3 к программе.</w:t>
      </w:r>
    </w:p>
    <w:p>
      <w:pPr>
        <w:pStyle w:val="Normal"/>
        <w:ind w:right="53" w:firstLine="709"/>
        <w:jc w:val="both"/>
        <w:rPr>
          <w:rFonts w:ascii="Times New Roman" w:hAnsi="Times New Roman" w:eastAsia="Calibri"/>
          <w:color w:val="000000"/>
          <w:sz w:val="24"/>
          <w:szCs w:val="24"/>
          <w:lang w:eastAsia="en-US"/>
        </w:rPr>
      </w:pPr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Подпрограмма 2.</w:t>
      </w:r>
      <w:r>
        <w:rPr>
          <w:rFonts w:ascii="Times New Roman" w:hAnsi="Times New Roman"/>
          <w:color w:val="000000"/>
          <w:sz w:val="24"/>
          <w:szCs w:val="24"/>
        </w:rPr>
        <w:t xml:space="preserve"> - Повышение безопасности дорожного движения.</w:t>
      </w:r>
    </w:p>
    <w:p>
      <w:pPr>
        <w:pStyle w:val="Normal"/>
        <w:autoSpaceDE w:val="false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реализации подпрограммы – 2014-2025 годы.</w:t>
      </w:r>
    </w:p>
    <w:p>
      <w:pPr>
        <w:pStyle w:val="Normal"/>
        <w:widowControl w:val="false"/>
        <w:autoSpaceDE w:val="false"/>
        <w:ind w:firstLine="709"/>
        <w:jc w:val="both"/>
        <w:rPr>
          <w:rFonts w:ascii="Times New Roman" w:hAnsi="Times New Roman" w:eastAsia="Calibri"/>
          <w:color w:val="000000"/>
          <w:sz w:val="24"/>
          <w:szCs w:val="24"/>
          <w:lang w:eastAsia="en-US"/>
        </w:rPr>
      </w:pPr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  <w:t>Одной из самых острых социально-экономических проблем является высокая аварийность на автомобильных дорогах.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Быстрый рост автомобилизации с каждым годом увеличивает городской автомобильный парк и количество вовлекаемых в сферу дорожного движения людей. Рост автомобильного парка и объема перевозок ведет к увеличению интенсивности движения, что приводит к возникновению транспортных проблем при движении по автомобильным дорогам. 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Переменный режим движения, частые остановки и скопления автомобилей на перекрестках являются причинами повышенного загрязнения воздуха муниципального образования продуктами неполного сгорания топлива. Городское население постоянно подвержено воздействию транспортного шума и отработавших газов.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Одновременно растет и количество дорожно-транспортных происшествий (ДТП), в которых гибнут и получают ранения люди. При этом на перекрестках, занимающих незначительную часть территории города, концентрируется более 30% всех ДТП.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Обеспечение безопасного движения в городских условиях требует применения комплекса мероприятий планировочного и организационного характера.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Организационные мероприятия способствуют упорядочению движения на уже существующей улично-дорожной сети. К числу таких мероприятий относятся установка технических средств регулирования дорожного движения. В то время как организация мероприятий планировочного характера требует, помимо значительных капиталовложений, довольно большого периода времени, организационные мероприятия способны привести к сравнительно быстрому эффекту, а в ряде случаев организационные мероприятия выступают в роли единственного средства для решения транспортной проблемы.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реализации мероприятий по организации дорожного движения особая роль принадлежит внедрению технических средств: дорожных знаков, средств светофорного регулирования, дорожных ограждений и направляющих устройств. При этом светофорное регулирование является одним из основных средств обеспечения безопасности движения на перекрестках. Опыт внедрения светофорного регулирования свидетельствует об его эффективности в решении транспортных проблем.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Организация дорожного движения представляет собой комплекс инженерных и организационных мероприятий на существующей улично-дорожной сети, обеспечивающих безопасность и достаточную скорость транспортных и пешеходных потоков. К числу таких мероприятий относится управление дорожным движением, которое, как правило, решает задачи воздействия на тот или иной объект с целью улучшения его функционирования. 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Сущность управления заключается в том, чтобы обязывать водителей и пешеходов, запрещать или рекомендовать им совершение тех или иных действий в интересах обеспечения безопасности дорожного движения.</w:t>
      </w:r>
      <w:r>
        <w:rPr>
          <w:rFonts w:cs="Georgia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Применение светофорного регулирования позволяет снизить общее количество ДТП на 5-10%.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Наряду с нарушениями водителями и пешеходами Правил дорожного движения особую роль в совершении ДТП играют сопутствующие факторы, в том числе и неудовлетворительное состояние технических средств организации дорожного движения. В числе наиболее распространенных причин таких ДТП входят: отсутствие, повреждение или неправильное применение дорожно-знаковой информации.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Определение очагов аварийности обосновывает принятие управленческих решений и назначение инженерных мероприятий по повышению безопасности движения, а также позволяет осуществлять оперативное вмешательство в складывающуюся неблагоприятную дорожную ситуацию с целью улучшения условий для движения и охраны жизни граждан.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Мероприятия по обеспечению безопасности дорожного движения должны быть направлены на снижение тяжести ДТП в результате регламентации скоростей движения и обеспечения контроля скоростных режимов и поведения водителей в местах повышенной опасности, а также проведение работ по устранению неудовлетворительных дорожных условий.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Цель подпрограммы: 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Обеспечение безопасности дорожного движения.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Задачи подпрограммы:</w:t>
      </w:r>
    </w:p>
    <w:p>
      <w:pPr>
        <w:pStyle w:val="Normal"/>
        <w:numPr>
          <w:ilvl w:val="0"/>
          <w:numId w:val="2"/>
        </w:numPr>
        <w:autoSpaceDE w:val="false"/>
        <w:ind w:left="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выполнение текущих регламентных работ по содержанию, ремонту средств регулирования дорожного движения;</w:t>
      </w:r>
    </w:p>
    <w:p>
      <w:pPr>
        <w:pStyle w:val="Normal"/>
        <w:numPr>
          <w:ilvl w:val="0"/>
          <w:numId w:val="2"/>
        </w:numPr>
        <w:autoSpaceDE w:val="false"/>
        <w:ind w:left="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создание условий для безубыточной деятельности организаций транспортного комплекса.</w:t>
      </w:r>
    </w:p>
    <w:p>
      <w:pPr>
        <w:pStyle w:val="Normal"/>
        <w:tabs>
          <w:tab w:val="clear" w:pos="708"/>
          <w:tab w:val="left" w:pos="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Реализация подпрограммы позволит достичь следующих результатов:</w:t>
      </w:r>
    </w:p>
    <w:p>
      <w:pPr>
        <w:pStyle w:val="Normal"/>
        <w:tabs>
          <w:tab w:val="clear" w:pos="708"/>
          <w:tab w:val="left" w:pos="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увеличить количество средств регулирования дорожного движения, работы, по содержанию которых выполняются в объеме действующих нормативов до 2133 ед. к 2025 году;</w:t>
      </w:r>
    </w:p>
    <w:p>
      <w:pPr>
        <w:pStyle w:val="Normal"/>
        <w:tabs>
          <w:tab w:val="clear" w:pos="708"/>
          <w:tab w:val="left" w:pos="0" w:leader="none"/>
        </w:tabs>
        <w:ind w:right="-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сохранить фактическое выполнение программы пассажирских перевозок по муниципальному заказу к утвержденной программе на уровне 100% к 2025 году.</w:t>
      </w:r>
    </w:p>
    <w:p>
      <w:pPr>
        <w:pStyle w:val="Normal"/>
        <w:widowControl w:val="false"/>
        <w:autoSpaceDE w:val="false"/>
        <w:ind w:firstLine="709"/>
        <w:jc w:val="both"/>
        <w:rPr/>
      </w:pPr>
      <w:hyperlink w:anchor="P2942">
        <w:r>
          <w:rPr>
            <w:rStyle w:val="-"/>
            <w:rFonts w:eastAsia="Calibri" w:ascii="Times New Roman" w:hAnsi="Times New Roman"/>
            <w:color w:val="000000"/>
            <w:sz w:val="24"/>
            <w:szCs w:val="24"/>
            <w:lang w:eastAsia="en-US"/>
          </w:rPr>
          <w:t>Подпрограмма 2</w:t>
        </w:r>
      </w:hyperlink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  <w:t xml:space="preserve"> приведена в приложении № 4 к программе.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Основные меры правового регулирования,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 w:hanging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направленные на достижение цели и (или) задач муниципальной программы</w:t>
      </w:r>
    </w:p>
    <w:p>
      <w:pPr>
        <w:pStyle w:val="Normal"/>
        <w:autoSpaceDE w:val="false"/>
        <w:ind w:firstLine="709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Информация об основных мерах правового регулирования в сфере дорожного хозяйства, направленных на достижение цели и (или) задач муниципальной программы приведена в приложении №5 к программе.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tabs>
          <w:tab w:val="clear" w:pos="708"/>
          <w:tab w:val="left" w:pos="0" w:leader="none"/>
        </w:tabs>
        <w:spacing w:before="240" w:after="120"/>
        <w:ind w:right="-17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Normal"/>
        <w:tabs>
          <w:tab w:val="clear" w:pos="708"/>
          <w:tab w:val="left" w:pos="0" w:leader="none"/>
        </w:tabs>
        <w:spacing w:before="240" w:after="120"/>
        <w:ind w:right="-17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Информация о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ресурсн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обеспечени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муниципальной программы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autoSpaceDE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о ресурсном обеспечении муниципальной программы за счет средств </w:t>
      </w:r>
      <w:r>
        <w:rPr>
          <w:rFonts w:eastAsia="Calibri" w:ascii="Times New Roman" w:hAnsi="Times New Roman"/>
          <w:sz w:val="24"/>
          <w:szCs w:val="24"/>
        </w:rPr>
        <w:t>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851"/>
        <w:jc w:val="both"/>
        <w:rPr/>
      </w:pPr>
      <w:hyperlink r:id="rId2">
        <w:r>
          <w:rPr>
            <w:rStyle w:val="-"/>
            <w:rFonts w:eastAsia="Calibri" w:ascii="Times New Roman" w:hAnsi="Times New Roman"/>
            <w:sz w:val="28"/>
            <w:szCs w:val="28"/>
          </w:rPr>
          <w:t>Информаци</w:t>
        </w:r>
      </w:hyperlink>
      <w:r>
        <w:rPr>
          <w:rFonts w:ascii="Times New Roman" w:hAnsi="Times New Roman"/>
        </w:rPr>
        <w:t>я об источниках финансирования подпрограмм, отдельных мероприятий программы (средства бюджета города Шарыпово, в том числе средства, поступившие из бюджетов других уровней бюджетной системы) представлена приложении №2 к программе.</w:t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2733"/>
        <w:gridCol w:w="1146"/>
        <w:gridCol w:w="2196"/>
        <w:gridCol w:w="616"/>
        <w:gridCol w:w="616"/>
        <w:gridCol w:w="616"/>
        <w:gridCol w:w="616"/>
        <w:gridCol w:w="616"/>
        <w:gridCol w:w="616"/>
        <w:gridCol w:w="657"/>
        <w:gridCol w:w="657"/>
        <w:gridCol w:w="657"/>
        <w:gridCol w:w="657"/>
        <w:gridCol w:w="895"/>
        <w:gridCol w:w="895"/>
      </w:tblGrid>
      <w:tr>
        <w:trPr>
          <w:trHeight w:val="1260" w:hRule="atLeast"/>
        </w:trPr>
        <w:tc>
          <w:tcPr>
            <w:tcW w:w="489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" w:name="RANGE!A1%3AP11"/>
            <w:bookmarkStart w:id="2" w:name="RANGE!A1%3AO11"/>
            <w:bookmarkEnd w:id="2"/>
            <w:r>
              <w:rPr>
                <w:rFonts w:ascii="Times New Roman" w:hAnsi="Times New Roman"/>
                <w:sz w:val="18"/>
                <w:szCs w:val="18"/>
              </w:rPr>
              <w:t> </w:t>
            </w:r>
            <w:bookmarkEnd w:id="1"/>
          </w:p>
        </w:tc>
        <w:tc>
          <w:tcPr>
            <w:tcW w:w="2733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4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9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18" w:type="dxa"/>
            <w:gridSpan w:val="6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Приложение № 1 </w:t>
              <w:br/>
              <w:t xml:space="preserve">к паспорту муниципальной программы «Развитие транспортной системы муниципального образования город Шарыпово» </w:t>
            </w:r>
          </w:p>
        </w:tc>
      </w:tr>
      <w:tr>
        <w:trPr>
          <w:trHeight w:val="300" w:hRule="atLeast"/>
        </w:trPr>
        <w:tc>
          <w:tcPr>
            <w:tcW w:w="489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33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4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9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46" w:type="dxa"/>
            <w:gridSpan w:val="4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>
        <w:trPr>
          <w:trHeight w:val="855" w:hRule="atLeast"/>
        </w:trPr>
        <w:tc>
          <w:tcPr>
            <w:tcW w:w="14678" w:type="dxa"/>
            <w:gridSpan w:val="16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</w:t>
            </w:r>
          </w:p>
        </w:tc>
      </w:tr>
      <w:tr>
        <w:trPr>
          <w:trHeight w:val="315" w:hRule="atLeast"/>
        </w:trPr>
        <w:tc>
          <w:tcPr>
            <w:tcW w:w="489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33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4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9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п/п</w:t>
            </w:r>
          </w:p>
        </w:tc>
        <w:tc>
          <w:tcPr>
            <w:tcW w:w="2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Цели, задачи, показатели 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Год, предшествующий реализации муниципальной  программы                                                                                                                          (2013 год)</w:t>
            </w:r>
          </w:p>
        </w:tc>
        <w:tc>
          <w:tcPr>
            <w:tcW w:w="811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Годы реализации муниципальной программы</w:t>
            </w:r>
          </w:p>
        </w:tc>
      </w:tr>
      <w:tr>
        <w:trPr>
          <w:trHeight w:val="1330" w:hRule="atLeast"/>
        </w:trPr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6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6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6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70" w:hRule="atLeast"/>
        </w:trPr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3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9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>
        <w:trPr>
          <w:trHeight w:val="660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9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Развитие современной и эффективной транспортной инфраструктуры, обеспечение безопасности дорожного движения</w:t>
            </w:r>
          </w:p>
        </w:tc>
      </w:tr>
      <w:tr>
        <w:trPr>
          <w:trHeight w:val="1050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3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 и их удельный вес в общей протяженности сети</w:t>
            </w: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19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56,6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50,2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48,4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48,1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47,7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47,1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45,8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44,5</w:t>
            </w:r>
          </w:p>
        </w:tc>
      </w:tr>
      <w:tr>
        <w:trPr>
          <w:trHeight w:val="1575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3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населения, проживающего в населенных пунктах, не имеющих регулярного автобусного 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</w:t>
            </w: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19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567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511"/>
        <w:gridCol w:w="3275"/>
        <w:gridCol w:w="3091"/>
        <w:gridCol w:w="1108"/>
        <w:gridCol w:w="1108"/>
        <w:gridCol w:w="1108"/>
        <w:gridCol w:w="1863"/>
      </w:tblGrid>
      <w:tr>
        <w:trPr>
          <w:trHeight w:val="1215" w:hRule="atLeast"/>
        </w:trPr>
        <w:tc>
          <w:tcPr>
            <w:tcW w:w="6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bookmarkStart w:id="3" w:name="RANGE!A1%3AL18"/>
            <w:bookmarkStart w:id="4" w:name="RANGE!A1%3AL18"/>
            <w:bookmarkEnd w:id="4"/>
          </w:p>
        </w:tc>
        <w:tc>
          <w:tcPr>
            <w:tcW w:w="251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187" w:type="dxa"/>
            <w:gridSpan w:val="4"/>
            <w:tcBorders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№ 1</w:t>
              <w:br/>
              <w:t xml:space="preserve">к муниципальной программе "Развитие транспортной системы муниципального образования город Шарыпово" </w:t>
            </w:r>
          </w:p>
        </w:tc>
      </w:tr>
      <w:tr>
        <w:trPr>
          <w:trHeight w:val="300" w:hRule="atLeast"/>
        </w:trPr>
        <w:tc>
          <w:tcPr>
            <w:tcW w:w="6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86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885" w:hRule="atLeast"/>
        </w:trPr>
        <w:tc>
          <w:tcPr>
            <w:tcW w:w="14678" w:type="dxa"/>
            <w:gridSpan w:val="8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</w:t>
            </w:r>
          </w:p>
        </w:tc>
      </w:tr>
      <w:tr>
        <w:trPr>
          <w:trHeight w:val="300" w:hRule="atLeast"/>
        </w:trPr>
        <w:tc>
          <w:tcPr>
            <w:tcW w:w="6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863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тыс.руб.</w:t>
            </w:r>
          </w:p>
        </w:tc>
      </w:tr>
      <w:tr>
        <w:trPr>
          <w:trHeight w:val="690" w:hRule="atLeast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3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на 2023-2025 гг.</w:t>
            </w:r>
          </w:p>
        </w:tc>
      </w:tr>
      <w:tr>
        <w:trPr>
          <w:trHeight w:val="510" w:hRule="atLeast"/>
        </w:trPr>
        <w:tc>
          <w:tcPr>
            <w:tcW w:w="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5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</w:tr>
      <w:tr>
        <w:trPr>
          <w:trHeight w:val="780" w:hRule="atLeast"/>
        </w:trPr>
        <w:tc>
          <w:tcPr>
            <w:tcW w:w="6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2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Развитие транспортной системы муниципального образования город Шарыпово </w:t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77 584,48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77 830,68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78 095,38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233 510,54</w:t>
            </w:r>
          </w:p>
        </w:tc>
      </w:tr>
      <w:tr>
        <w:trPr>
          <w:trHeight w:val="300" w:hRule="atLeast"/>
        </w:trPr>
        <w:tc>
          <w:tcPr>
            <w:tcW w:w="6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5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5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38 729,48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38 975,68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39 240,38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116 945,54</w:t>
            </w:r>
          </w:p>
        </w:tc>
      </w:tr>
      <w:tr>
        <w:trPr>
          <w:trHeight w:val="600" w:hRule="atLeast"/>
        </w:trPr>
        <w:tc>
          <w:tcPr>
            <w:tcW w:w="6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5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города Шарыпово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38 855,00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38 855,00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38 855,00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116 565,00</w:t>
            </w:r>
          </w:p>
        </w:tc>
      </w:tr>
      <w:tr>
        <w:trPr>
          <w:trHeight w:val="945" w:hRule="atLeast"/>
        </w:trPr>
        <w:tc>
          <w:tcPr>
            <w:tcW w:w="6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5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2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36 555,63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36 801,83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37 066,53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110 423,99</w:t>
            </w:r>
          </w:p>
        </w:tc>
      </w:tr>
      <w:tr>
        <w:trPr>
          <w:trHeight w:val="300" w:hRule="atLeast"/>
        </w:trPr>
        <w:tc>
          <w:tcPr>
            <w:tcW w:w="6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5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5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36 555,63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36 801,83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37 066,53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110 423,99</w:t>
            </w:r>
          </w:p>
        </w:tc>
      </w:tr>
      <w:tr>
        <w:trPr>
          <w:trHeight w:val="915" w:hRule="atLeast"/>
        </w:trPr>
        <w:tc>
          <w:tcPr>
            <w:tcW w:w="6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5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32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безопасности дорожного движения</w:t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123 086,55</w:t>
            </w:r>
          </w:p>
        </w:tc>
      </w:tr>
      <w:tr>
        <w:trPr>
          <w:trHeight w:val="300" w:hRule="atLeast"/>
        </w:trPr>
        <w:tc>
          <w:tcPr>
            <w:tcW w:w="6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5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6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5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города Шарыпово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38 855,00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38 855,00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38 855,00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116 565,00</w:t>
            </w:r>
          </w:p>
        </w:tc>
      </w:tr>
      <w:tr>
        <w:trPr>
          <w:trHeight w:val="300" w:hRule="atLeast"/>
        </w:trPr>
        <w:tc>
          <w:tcPr>
            <w:tcW w:w="6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5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2 173,85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2 173,85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2 173,85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6 521,55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567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2558"/>
        <w:gridCol w:w="3333"/>
        <w:gridCol w:w="2932"/>
        <w:gridCol w:w="1131"/>
        <w:gridCol w:w="1131"/>
        <w:gridCol w:w="1131"/>
        <w:gridCol w:w="1871"/>
      </w:tblGrid>
      <w:tr>
        <w:trPr>
          <w:trHeight w:val="1215" w:hRule="atLeast"/>
        </w:trPr>
        <w:tc>
          <w:tcPr>
            <w:tcW w:w="59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bookmarkStart w:id="5" w:name="RANGE!A1%3AH25"/>
            <w:bookmarkStart w:id="6" w:name="RANGE!A1%3AH25"/>
            <w:bookmarkEnd w:id="6"/>
          </w:p>
        </w:tc>
        <w:tc>
          <w:tcPr>
            <w:tcW w:w="255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264" w:type="dxa"/>
            <w:gridSpan w:val="4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№ 2</w:t>
              <w:br/>
              <w:t xml:space="preserve">к муниципальной программе «Развитие транспортной системы муниципального образования город Шарыпово </w:t>
            </w:r>
          </w:p>
        </w:tc>
      </w:tr>
      <w:tr>
        <w:trPr>
          <w:trHeight w:val="300" w:hRule="atLeast"/>
        </w:trPr>
        <w:tc>
          <w:tcPr>
            <w:tcW w:w="59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1080" w:hRule="atLeast"/>
        </w:trPr>
        <w:tc>
          <w:tcPr>
            <w:tcW w:w="14678" w:type="dxa"/>
            <w:gridSpan w:val="8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Информация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300" w:hRule="atLeast"/>
        </w:trPr>
        <w:tc>
          <w:tcPr>
            <w:tcW w:w="59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тыс.руб.</w:t>
            </w:r>
          </w:p>
        </w:tc>
      </w:tr>
      <w:tr>
        <w:trPr>
          <w:trHeight w:val="705" w:hRule="atLeast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на 2023-2025гг.</w:t>
            </w:r>
          </w:p>
        </w:tc>
      </w:tr>
      <w:tr>
        <w:trPr>
          <w:trHeight w:val="65" w:hRule="atLeast"/>
        </w:trPr>
        <w:tc>
          <w:tcPr>
            <w:tcW w:w="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3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Развитие транспортной системы муниципального образования город Шарыпово </w:t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77 584,48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77 830,68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78 095,38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233 510,54</w:t>
            </w:r>
          </w:p>
        </w:tc>
      </w:tr>
      <w:tr>
        <w:trPr>
          <w:trHeight w:val="171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 Шарыпово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77 584,48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77 830,68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78 095,38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233 510,54</w:t>
            </w:r>
          </w:p>
        </w:tc>
      </w:tr>
      <w:tr>
        <w:trPr>
          <w:trHeight w:val="300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94" w:hRule="atLeast"/>
        </w:trPr>
        <w:tc>
          <w:tcPr>
            <w:tcW w:w="5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3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36 555,63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36 801,83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37 066,53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110 423,99</w:t>
            </w:r>
          </w:p>
        </w:tc>
      </w:tr>
      <w:tr>
        <w:trPr>
          <w:trHeight w:val="98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30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 Шарыпово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36 555,63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36 801,83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37 066,53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110 423,99</w:t>
            </w:r>
          </w:p>
        </w:tc>
      </w:tr>
      <w:tr>
        <w:trPr>
          <w:trHeight w:val="300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68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65" w:hRule="atLeast"/>
        </w:trPr>
        <w:tc>
          <w:tcPr>
            <w:tcW w:w="5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33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безопасности дорожного движения</w:t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123 086,55</w:t>
            </w:r>
          </w:p>
        </w:tc>
      </w:tr>
      <w:tr>
        <w:trPr>
          <w:trHeight w:val="300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 Шарыпово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123 086,55</w:t>
            </w:r>
          </w:p>
        </w:tc>
      </w:tr>
      <w:tr>
        <w:trPr>
          <w:trHeight w:val="84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17" w:hRule="atLeast"/>
        </w:trPr>
        <w:tc>
          <w:tcPr>
            <w:tcW w:w="5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ind w:left="5103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№3</w:t>
      </w:r>
    </w:p>
    <w:p>
      <w:pPr>
        <w:pStyle w:val="Normal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муниципальной программе «Развитие транспортной системы муниципального образования город Шарыпово» </w:t>
      </w:r>
    </w:p>
    <w:p>
      <w:pPr>
        <w:pStyle w:val="Normal"/>
        <w:numPr>
          <w:ilvl w:val="0"/>
          <w:numId w:val="0"/>
        </w:numPr>
        <w:autoSpaceDE w:val="false"/>
        <w:jc w:val="right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autoSpaceDE w:val="fals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Подпрограмма</w:t>
      </w:r>
    </w:p>
    <w:p>
      <w:pPr>
        <w:pStyle w:val="Normal"/>
        <w:autoSpaceDE w:val="fals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Обеспечение сохранности, модернизация</w:t>
      </w:r>
    </w:p>
    <w:p>
      <w:pPr>
        <w:pStyle w:val="Normal"/>
        <w:autoSpaceDE w:val="fals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развитие сети автомобильных дорог муниципального образования</w:t>
      </w:r>
    </w:p>
    <w:p>
      <w:pPr>
        <w:pStyle w:val="Normal"/>
        <w:autoSpaceDE w:val="fals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город Шарыпово </w:t>
      </w:r>
    </w:p>
    <w:p>
      <w:pPr>
        <w:pStyle w:val="Normal"/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1.Паспорт подпрограммы</w:t>
      </w:r>
    </w:p>
    <w:tbl>
      <w:tblPr>
        <w:tblW w:w="94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839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сохранности, модернизация и развитие сети автомобильных дорог муниципального образования (далее – подпрограмма)</w:t>
            </w:r>
          </w:p>
        </w:tc>
      </w:tr>
      <w:tr>
        <w:trPr>
          <w:trHeight w:val="1564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транспортной системы муниципального образования город Шарыпово </w:t>
            </w:r>
          </w:p>
        </w:tc>
      </w:tr>
      <w:tr>
        <w:trPr>
          <w:trHeight w:val="65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Муниципальное казенное учреждение «Служба городского хозяйства»</w:t>
            </w:r>
          </w:p>
        </w:tc>
      </w:tr>
      <w:tr>
        <w:trPr>
          <w:trHeight w:val="220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Муниципальное казенное учреждение «Служба городского хозяйства»</w:t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сохранности, развитие современной и эффективной транспортной инфраструктуры.</w:t>
            </w:r>
          </w:p>
          <w:p>
            <w:pPr>
              <w:pStyle w:val="Normal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Задачи подпрограммы: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выполнение текущих регламентных работ по содержанию автомобильных дорог общего пользования местного значения и искусственных сооружений на них;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0" w:after="160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выполнение работ по ремонту автомобильных дорог общего пользования местного значения и искусственных сооружений на них.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доли протяженности автомобильных дорог общего пользования местного значения, работы,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на уровне 44,9% к 2025г.</w:t>
            </w:r>
          </w:p>
          <w:p>
            <w:pPr>
              <w:pStyle w:val="Normal"/>
              <w:autoSpaceDE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протяженности автомобильных дорог общего пользования местного значения, на которой проведены работы по ремонту в общей протяженности сети до 20 % к 2025 году</w:t>
            </w:r>
          </w:p>
          <w:p>
            <w:pPr>
              <w:pStyle w:val="Normal"/>
              <w:spacing w:before="0" w:after="160"/>
              <w:ind w:right="-17" w:hanging="0"/>
              <w:jc w:val="both"/>
              <w:rPr/>
            </w:pPr>
            <w:hyperlink w:anchor="P3334">
              <w:r>
                <w:rPr>
                  <w:rStyle w:val="-"/>
                  <w:rFonts w:ascii="Times New Roman" w:hAnsi="Times New Roman"/>
                  <w:color w:val="000000"/>
                  <w:sz w:val="24"/>
                  <w:szCs w:val="24"/>
                  <w:lang w:val="ru-RU" w:eastAsia="ru-RU"/>
                </w:rPr>
                <w:t>Перечень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2014-2025 г.г.</w:t>
            </w:r>
          </w:p>
        </w:tc>
      </w:tr>
      <w:tr>
        <w:trPr>
          <w:trHeight w:val="70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программы в 2014 - 2025 годах предусматривает финансирование – 477 057,61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 г. – 20 313,80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городского округа (далее по тексту подпрограммы – Бюджет города Шарыпово) – 5 881,00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14 432,80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 г. – 38 167,76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4 699,56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33 468,20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2016 г. – 37 340,00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7 771,40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29 568,60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 г. – 34 279,00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2 309,20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31 969,80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 г. – 33 775,80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2 166,20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31 609,60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2019 г. – 37 604,42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2 221,22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35 383,20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 г. – 41 196,20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2 557,30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38 638,90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 г. – 44 259,76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4 031,06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40 228,70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 г. – 79 696,88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44 211,68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35 485,20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 г. – 36 555,63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36 555,63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 г. – 36 801,83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36 801,83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 г. – 37 066,53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37 066,53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Объемы и источники финансирования ежегодно корректируются, исходя из имеющихся возможностей бюджета</w:t>
            </w:r>
          </w:p>
        </w:tc>
      </w:tr>
    </w:tbl>
    <w:p>
      <w:pPr>
        <w:pStyle w:val="Normal"/>
        <w:spacing w:before="240" w:after="240"/>
        <w:ind w:right="-17" w:hanging="0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2. Мероприятия подпрограммы</w:t>
      </w:r>
    </w:p>
    <w:p>
      <w:pPr>
        <w:pStyle w:val="Normal"/>
        <w:ind w:right="-1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мероприятий, реализуемых в рамках подпрограммы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 w:hanging="0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Главным распорядителем бюджетных средств является Муниципальное казенное учреждение «Служба городского хозяйства».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Реализация мероприятий подпрограммы осуществляется на основе: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 w:hanging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 ходом ее выполнения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предложения о корректировке перечня подпрограммных мероприятий (при необходимости).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/>
        <w:jc w:val="both"/>
        <w:rPr>
          <w:rFonts w:ascii="Times New Roman" w:hAnsi="Times New Roman" w:eastAsia="Calibri"/>
          <w:color w:val="000000"/>
          <w:sz w:val="28"/>
          <w:szCs w:val="28"/>
        </w:rPr>
      </w:pPr>
      <w:r>
        <w:rPr>
          <w:rFonts w:eastAsia="Calibri" w:ascii="Times New Roman" w:hAnsi="Times New Roman"/>
          <w:color w:val="000000"/>
          <w:sz w:val="28"/>
          <w:szCs w:val="28"/>
        </w:rPr>
        <w:t>.</w:t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6202"/>
        <w:gridCol w:w="1328"/>
        <w:gridCol w:w="1556"/>
        <w:gridCol w:w="1048"/>
        <w:gridCol w:w="1048"/>
        <w:gridCol w:w="1048"/>
        <w:gridCol w:w="1048"/>
        <w:gridCol w:w="821"/>
      </w:tblGrid>
      <w:tr>
        <w:trPr>
          <w:trHeight w:val="1320" w:hRule="atLeast"/>
        </w:trPr>
        <w:tc>
          <w:tcPr>
            <w:tcW w:w="57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620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192" w:type="dxa"/>
            <w:gridSpan w:val="4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Приложение № 1 </w:t>
              <w:br/>
              <w:t>к подпрограмме «Обеспечение сохранности, модернизация и развитие сети автомобильных дорог»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57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620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13857" w:type="dxa"/>
            <w:gridSpan w:val="8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57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620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750" w:hRule="atLeast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Цель, показатели результативности   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Источник информации</w:t>
            </w:r>
          </w:p>
        </w:tc>
        <w:tc>
          <w:tcPr>
            <w:tcW w:w="501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Годы реализации подпрограммы</w:t>
            </w:r>
          </w:p>
        </w:tc>
      </w:tr>
      <w:tr>
        <w:trPr>
          <w:trHeight w:val="634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62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2021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2022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2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78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ЦЕЛЬ:  Обеспечение сохранности, развитие современной и эффективной транспортной инфраструктуры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792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Задача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текущих регламентных работ по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2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Доля протяженности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</w:t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тыс.кв.м.</w:t>
            </w:r>
          </w:p>
        </w:tc>
        <w:tc>
          <w:tcPr>
            <w:tcW w:w="1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430,20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430,20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430,20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430,20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430,20</w:t>
            </w:r>
          </w:p>
        </w:tc>
      </w:tr>
      <w:tr>
        <w:trPr>
          <w:trHeight w:val="720" w:hRule="atLeast"/>
        </w:trPr>
        <w:tc>
          <w:tcPr>
            <w:tcW w:w="5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6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44,90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44,90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44,90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44,90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44,90</w:t>
            </w:r>
          </w:p>
        </w:tc>
      </w:tr>
      <w:tr>
        <w:trPr>
          <w:trHeight w:val="832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Задача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работ по ремонту автомобильных дорог общего пользования местного значения и искусственных сооружений на них.</w:t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80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62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Доля площади автомобильных дорог общего пользования местного значения, на которой проведены работы по ремонту  в общей протяженности сети</w:t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20,0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8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3530"/>
        <w:gridCol w:w="837"/>
        <w:gridCol w:w="692"/>
        <w:gridCol w:w="651"/>
        <w:gridCol w:w="1228"/>
        <w:gridCol w:w="516"/>
        <w:gridCol w:w="1060"/>
        <w:gridCol w:w="1078"/>
        <w:gridCol w:w="1016"/>
        <w:gridCol w:w="1139"/>
        <w:gridCol w:w="2327"/>
      </w:tblGrid>
      <w:tr>
        <w:trPr>
          <w:trHeight w:val="1290" w:hRule="atLeast"/>
        </w:trPr>
        <w:tc>
          <w:tcPr>
            <w:tcW w:w="6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6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466" w:type="dxa"/>
            <w:gridSpan w:val="2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№ 2</w:t>
              <w:br/>
              <w:t>к подпрограмме «Обеспечение сохранности, модернизация и развитие сети автомобильных дорог»</w:t>
            </w:r>
          </w:p>
        </w:tc>
      </w:tr>
      <w:tr>
        <w:trPr>
          <w:trHeight w:val="375" w:hRule="atLeast"/>
        </w:trPr>
        <w:tc>
          <w:tcPr>
            <w:tcW w:w="6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074" w:type="dxa"/>
            <w:gridSpan w:val="11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мероприятий подпрограммы</w:t>
            </w:r>
          </w:p>
        </w:tc>
      </w:tr>
      <w:tr>
        <w:trPr>
          <w:trHeight w:val="75" w:hRule="atLeast"/>
        </w:trPr>
        <w:tc>
          <w:tcPr>
            <w:tcW w:w="60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5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6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32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19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</w:rPr>
              <w:t>п/п</w:t>
            </w:r>
          </w:p>
        </w:tc>
        <w:tc>
          <w:tcPr>
            <w:tcW w:w="3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ГРБС </w:t>
            </w:r>
          </w:p>
        </w:tc>
        <w:tc>
          <w:tcPr>
            <w:tcW w:w="308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годам реализации программы, тыс.рублей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837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на 2023-2025гг.</w:t>
            </w:r>
          </w:p>
        </w:tc>
        <w:tc>
          <w:tcPr>
            <w:tcW w:w="2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07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ЦЕЛЬ: Обеспечение сохранности, развитие современной и эффективной транспортной инфраструктуры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407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Выполнение текущих регламентных работ по содержанию автомобильных дорог общего пользования местного  значения и искусственных сооружений на них</w:t>
            </w:r>
          </w:p>
        </w:tc>
      </w:tr>
      <w:tr>
        <w:trPr>
          <w:trHeight w:val="1035" w:hRule="atLeast"/>
        </w:trPr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3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0910089650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32 100,00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32 100,00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32 100,00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96 300,00</w:t>
            </w:r>
          </w:p>
        </w:tc>
        <w:tc>
          <w:tcPr>
            <w:tcW w:w="23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208,1 км автомобильных дорог</w:t>
            </w:r>
          </w:p>
        </w:tc>
      </w:tr>
      <w:tr>
        <w:trPr>
          <w:trHeight w:val="1185" w:hRule="atLeast"/>
        </w:trPr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3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(акцизы)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0910085780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4 270,90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4 517,10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4 781,80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13 569,80</w:t>
            </w:r>
          </w:p>
        </w:tc>
        <w:tc>
          <w:tcPr>
            <w:tcW w:w="232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1230" w:hRule="atLeast"/>
        </w:trPr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</w:t>
            </w:r>
          </w:p>
        </w:tc>
        <w:tc>
          <w:tcPr>
            <w:tcW w:w="3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Долевое финансирование на капитальный ремонт и ремонт автомобильных дорог общего пользования местного значения городских округов 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09100S5090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184,73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184,73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184,73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232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424" w:hRule="atLeast"/>
        </w:trPr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36 555,63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36 801,83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37 066,53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110 423,99</w:t>
            </w:r>
          </w:p>
        </w:tc>
        <w:tc>
          <w:tcPr>
            <w:tcW w:w="23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</w:r>
    </w:p>
    <w:p>
      <w:pPr>
        <w:pStyle w:val="Normal"/>
        <w:ind w:left="5103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№4</w:t>
      </w:r>
    </w:p>
    <w:p>
      <w:pPr>
        <w:pStyle w:val="Normal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муниципальной программе «Развитие транспортной системы муниципального образования город Шарыпово»</w:t>
      </w:r>
    </w:p>
    <w:p>
      <w:pPr>
        <w:pStyle w:val="Normal"/>
        <w:numPr>
          <w:ilvl w:val="0"/>
          <w:numId w:val="0"/>
        </w:numPr>
        <w:autoSpaceDE w:val="false"/>
        <w:jc w:val="right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autoSpaceDE w:val="fals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Подпрограмма</w:t>
      </w:r>
    </w:p>
    <w:p>
      <w:pPr>
        <w:pStyle w:val="Normal"/>
        <w:autoSpaceDE w:val="fals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Повышение безопасности дорожного движения</w:t>
      </w:r>
    </w:p>
    <w:p>
      <w:pPr>
        <w:pStyle w:val="Normal"/>
        <w:autoSpaceDE w:val="fals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образования город Шарыпово </w:t>
      </w:r>
    </w:p>
    <w:p>
      <w:pPr>
        <w:pStyle w:val="Normal"/>
        <w:spacing w:before="240" w:after="2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1.Паспорт подпрограммы</w:t>
      </w:r>
    </w:p>
    <w:tbl>
      <w:tblPr>
        <w:tblW w:w="94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безопасности дорожного движения муниципального образования город Шарыпово 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(далее – подпрограмма)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транспортной системы муниципального образования город Шарыпово </w:t>
            </w:r>
          </w:p>
        </w:tc>
      </w:tr>
      <w:tr>
        <w:trPr>
          <w:trHeight w:val="78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lef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казенное учреждение «Служба городского хозяйства»;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160"/>
              <w:ind w:lef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города Шарыпово</w:t>
            </w:r>
          </w:p>
        </w:tc>
      </w:tr>
      <w:tr>
        <w:trPr>
          <w:trHeight w:val="78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lef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казенное учреждение «Служба городского хозяйства»;</w:t>
            </w:r>
          </w:p>
          <w:p>
            <w:pPr>
              <w:pStyle w:val="Normal"/>
              <w:numPr>
                <w:ilvl w:val="0"/>
                <w:numId w:val="4"/>
              </w:numPr>
              <w:spacing w:before="0" w:after="160"/>
              <w:ind w:lef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города Шарыпово</w:t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безопасности дорожного движения.</w:t>
            </w:r>
          </w:p>
          <w:p>
            <w:pPr>
              <w:pStyle w:val="Normal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Задачи подпрограммы:</w:t>
            </w:r>
          </w:p>
          <w:p>
            <w:pPr>
              <w:pStyle w:val="Normal"/>
              <w:numPr>
                <w:ilvl w:val="0"/>
                <w:numId w:val="5"/>
              </w:numPr>
              <w:autoSpaceDE w:val="false"/>
              <w:ind w:left="33" w:hanging="0"/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текущих регламентных работ по содержанию, ремонту средств регулирования дорожного движения;</w:t>
            </w:r>
          </w:p>
          <w:p>
            <w:pPr>
              <w:pStyle w:val="Normal"/>
              <w:numPr>
                <w:ilvl w:val="0"/>
                <w:numId w:val="5"/>
              </w:numPr>
              <w:autoSpaceDE w:val="false"/>
              <w:spacing w:before="0" w:after="160"/>
              <w:ind w:left="33" w:hanging="0"/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безубыточной деятельности организаций транспортного комплекса.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средств регулирования дорожного движения, работы, по содержанию которых выполняются в объеме действующих нормативов – 2133 ед. к 2025 году;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Фактическое выполнение программы пассажирских перевозок по муниципальному заказу к утвержденной программе – 100% к 2025 году</w:t>
            </w:r>
          </w:p>
          <w:p>
            <w:pPr>
              <w:pStyle w:val="Normal"/>
              <w:spacing w:before="0" w:after="160"/>
              <w:rPr/>
            </w:pPr>
            <w:hyperlink w:anchor="P3334">
              <w:r>
                <w:rPr>
                  <w:rStyle w:val="-"/>
                  <w:rFonts w:ascii="Times New Roman" w:hAnsi="Times New Roman"/>
                  <w:color w:val="000000"/>
                  <w:sz w:val="24"/>
                  <w:szCs w:val="24"/>
                  <w:lang w:val="ru-RU" w:eastAsia="ru-RU"/>
                </w:rPr>
                <w:t>Перечень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2014-2025 г.г.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подпрограммы в 2014 - 2025 годах предусматривает финансирование – 339 161,11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 г. – 10 895,67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городского округа (далее по тексту подпрограммы – Бюджет города Шарыпово) – 10 848,87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46,80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 г. – 17 031,05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17 031,05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2016 г. – 19 607,11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19 374,31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232,80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 г. – 19 498,03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19 249,73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248,30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 г. – 19 565,96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19 317,66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248,30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2019 г. – 28 625,19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20 851,09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7 774,10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 г. – 30 431,31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28 594,26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1 837,05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 г. – 32 309,81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31 527,51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782,30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 г. – 38 110,43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37 798,83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311,60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 г. – 41 028,85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– 41 028,85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 г. – 41 028,85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41 028,85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 г. – 41 028,85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 города Шарыпово 41 028,85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before="240" w:after="240"/>
        <w:ind w:right="-17" w:hanging="0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2. Мероприятия подпрограммы</w:t>
      </w:r>
    </w:p>
    <w:p>
      <w:pPr>
        <w:pStyle w:val="Normal"/>
        <w:ind w:right="-1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мероприятий, реализуемых в рамках подпрограммы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 w:hanging="0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Главными распорядителями бюджетных средств являются: Администрация города Шарыпово, Муниципальное казенное учреждение «Служба городского хозяйства».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Реализация мероприятий подпрограммы осуществляется на основе: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 w:hanging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 ходом ее выполнения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предложения о корректировке перечня подпрограммных мероприятий (при необходимости).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6767"/>
        <w:gridCol w:w="1444"/>
        <w:gridCol w:w="1695"/>
        <w:gridCol w:w="696"/>
        <w:gridCol w:w="865"/>
        <w:gridCol w:w="865"/>
        <w:gridCol w:w="865"/>
        <w:gridCol w:w="865"/>
      </w:tblGrid>
      <w:tr>
        <w:trPr>
          <w:trHeight w:val="1230" w:hRule="atLeast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76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460" w:type="dxa"/>
            <w:gridSpan w:val="4"/>
            <w:tcBorders/>
            <w:vAlign w:val="center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Приложение № 1 </w:t>
              <w:br/>
              <w:t xml:space="preserve">к подпрограмме "Повышение безопасности дорожного движения" </w:t>
            </w:r>
          </w:p>
        </w:tc>
      </w:tr>
      <w:tr>
        <w:trPr>
          <w:trHeight w:val="315" w:hRule="atLeast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76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76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12948" w:type="dxa"/>
            <w:gridSpan w:val="7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76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Цель,показатели результативности  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информации</w:t>
            </w:r>
          </w:p>
        </w:tc>
        <w:tc>
          <w:tcPr>
            <w:tcW w:w="415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Годы реализации подпрограммы</w:t>
            </w:r>
          </w:p>
        </w:tc>
      </w:tr>
      <w:tr>
        <w:trPr>
          <w:trHeight w:val="634" w:hRule="atLeast"/>
        </w:trPr>
        <w:tc>
          <w:tcPr>
            <w:tcW w:w="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19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ЦЕЛЬ: Обеспечение безопасности дорожного движения</w:t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908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7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Задача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текущих регламентных работ по содержанию, ремонту средств регулирования дорожного движения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rPr>
          <w:trHeight w:val="837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67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Количество средств регулирования дорожного движения, работы по содержанию которых выполняются в объеме действующих нормативов 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отраслевой мониторинг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2075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2095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2115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2124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2133</w:t>
            </w:r>
          </w:p>
        </w:tc>
      </w:tr>
      <w:tr>
        <w:trPr>
          <w:trHeight w:val="706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7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Задача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Создание условий для безубыточной деятельности организаций транспортного комплекса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rPr>
          <w:trHeight w:val="719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67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Фактическое выполнение программы пассажирских перевозок по муниципальному заказу к утвержденной программе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отраслевой мониторинг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8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3181"/>
        <w:gridCol w:w="1721"/>
        <w:gridCol w:w="692"/>
        <w:gridCol w:w="651"/>
        <w:gridCol w:w="1228"/>
        <w:gridCol w:w="516"/>
        <w:gridCol w:w="1099"/>
        <w:gridCol w:w="1138"/>
        <w:gridCol w:w="1078"/>
        <w:gridCol w:w="1188"/>
        <w:gridCol w:w="1592"/>
      </w:tblGrid>
      <w:tr>
        <w:trPr>
          <w:trHeight w:val="1200" w:hRule="atLeast"/>
        </w:trPr>
        <w:tc>
          <w:tcPr>
            <w:tcW w:w="59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7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80" w:type="dxa"/>
            <w:gridSpan w:val="2"/>
            <w:tcBorders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№ 2</w:t>
              <w:br/>
              <w:t>к подпрограмме "Повышение безопасности дорожного движения"</w:t>
            </w:r>
          </w:p>
        </w:tc>
      </w:tr>
      <w:tr>
        <w:trPr>
          <w:trHeight w:val="454" w:hRule="atLeast"/>
        </w:trPr>
        <w:tc>
          <w:tcPr>
            <w:tcW w:w="59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084" w:type="dxa"/>
            <w:gridSpan w:val="11"/>
            <w:tcBorders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Перечень мероприятий подпрограммы </w:t>
            </w:r>
          </w:p>
        </w:tc>
      </w:tr>
      <w:tr>
        <w:trPr>
          <w:trHeight w:val="315" w:hRule="atLeast"/>
        </w:trPr>
        <w:tc>
          <w:tcPr>
            <w:tcW w:w="59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7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433" w:hRule="atLeast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</w:rPr>
              <w:t>п/п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ГРБС </w:t>
            </w:r>
          </w:p>
        </w:tc>
        <w:tc>
          <w:tcPr>
            <w:tcW w:w="308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50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годам реализации программы, тыс.рублей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035" w:hRule="atLeast"/>
        </w:trPr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на 2023-2025гг.</w:t>
            </w:r>
          </w:p>
        </w:tc>
        <w:tc>
          <w:tcPr>
            <w:tcW w:w="15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00" w:hRule="atLeast"/>
        </w:trPr>
        <w:tc>
          <w:tcPr>
            <w:tcW w:w="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08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ЦЕЛЬ: Обеспечение безопасности дорожного движения</w:t>
            </w:r>
          </w:p>
        </w:tc>
      </w:tr>
      <w:tr>
        <w:trPr>
          <w:trHeight w:val="205" w:hRule="atLeast"/>
        </w:trPr>
        <w:tc>
          <w:tcPr>
            <w:tcW w:w="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408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Выполнение текущих регламентных работ по содержанию, ремонту средств регулирования дорожного движения</w:t>
            </w:r>
          </w:p>
        </w:tc>
      </w:tr>
      <w:tr>
        <w:trPr>
          <w:trHeight w:val="1080" w:hRule="atLeast"/>
        </w:trPr>
        <w:tc>
          <w:tcPr>
            <w:tcW w:w="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318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Выполнение работ (услуг) по содержанию, ремонту средств регулирования дорожного движения  на участках автодорог местного значения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0920087200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2 145,00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2 145,00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2 145,00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6 435,00</w:t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Надлежащее содержание светофорных объектов и дорожных знаков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408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Создание условий для безубыточной деятельности организаций транспортного комплекса</w:t>
            </w:r>
          </w:p>
        </w:tc>
      </w:tr>
      <w:tr>
        <w:trPr>
          <w:trHeight w:val="1440" w:hRule="atLeast"/>
        </w:trPr>
        <w:tc>
          <w:tcPr>
            <w:tcW w:w="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318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0408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0920087210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38 855,00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38 855,00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38 855,00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116 565,00</w:t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2.2.</w:t>
            </w:r>
          </w:p>
        </w:tc>
        <w:tc>
          <w:tcPr>
            <w:tcW w:w="318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повышение безопасности дорожного движения</w:t>
            </w:r>
          </w:p>
        </w:tc>
        <w:tc>
          <w:tcPr>
            <w:tcW w:w="172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692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65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28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09200S0601</w:t>
            </w:r>
          </w:p>
        </w:tc>
        <w:tc>
          <w:tcPr>
            <w:tcW w:w="51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28,85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28,85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28,85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86,55</w:t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1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41 028,85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123 086,55</w:t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ind w:firstLine="510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№5</w:t>
      </w:r>
    </w:p>
    <w:p>
      <w:pPr>
        <w:pStyle w:val="Normal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муниципальной программе «Развитие транспортной системы муниципального образования город Шарыпово»</w:t>
      </w:r>
    </w:p>
    <w:p>
      <w:pPr>
        <w:pStyle w:val="Normal"/>
        <w:ind w:left="5103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ind w:left="5103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autoSpaceDE w:val="false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Информация</w:t>
      </w:r>
    </w:p>
    <w:p>
      <w:pPr>
        <w:pStyle w:val="Normal"/>
        <w:autoSpaceDE w:val="false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об основных мерах правового регулирования в сфере дорожного хозяйства, направленных на достижение цели и (или) задач муниципальной программы</w:t>
      </w:r>
    </w:p>
    <w:p>
      <w:pPr>
        <w:pStyle w:val="Normal"/>
        <w:autoSpaceDE w:val="false"/>
        <w:spacing w:lineRule="auto" w:line="276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222"/>
        <w:gridCol w:w="2273"/>
        <w:gridCol w:w="2148"/>
        <w:gridCol w:w="2267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Форма нормативного правового акта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Основные положения нормативного правового акта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Ожидаемый срок принятия нормативного правового акта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Цель муниципальной программы: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Развитие современной и эффективной транспортной инфраструктуры, обеспечение безопасности дорожного движения.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Задача: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Безопасность дорожного движения и повышение доступности транспортных услуг для населения муниципального образования город Шарыпово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Подпрограмма 2: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Повышение безопасности дорожного движения.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Распоряжение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Утверждение нормативов субсидирования и размеров субсидий на компенсацию расходов транспортных организаций на 2023 год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 xml:space="preserve">Отдел экономики Администрации города Шарыпово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 xml:space="preserve">Январь 2023г. </w:t>
            </w:r>
          </w:p>
        </w:tc>
      </w:tr>
    </w:tbl>
    <w:p>
      <w:pPr>
        <w:pStyle w:val="Normal"/>
        <w:ind w:firstLine="851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autoSpaceDE w:val="false"/>
        <w:spacing w:before="0" w:after="16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83" w:hanging="975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5" w:hanging="375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80"/>
      <w:u w:val="single"/>
    </w:rPr>
  </w:style>
  <w:style w:type="character" w:styleId="WW8Num13z0">
    <w:name w:val="WW8Num13z0"/>
    <w:qFormat/>
    <w:rPr/>
  </w:style>
  <w:style w:type="character" w:styleId="WW8Num19z0">
    <w:name w:val="WW8Num19z0"/>
    <w:qFormat/>
    <w:rPr/>
  </w:style>
  <w:style w:type="character" w:styleId="WW8Num11z0">
    <w:name w:val="WW8Num11z0"/>
    <w:qFormat/>
    <w:rPr/>
  </w:style>
  <w:style w:type="character" w:styleId="WW8Num8z0">
    <w:name w:val="WW8Num8z0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2ff2"/>
    <w:pPr>
      <w:spacing w:before="0" w:after="160"/>
      <w:ind w:left="720" w:hanging="0"/>
      <w:contextualSpacing/>
    </w:pPr>
    <w:rPr/>
  </w:style>
  <w:style w:type="paragraph" w:styleId="ConsPlusNormal">
    <w:name w:val="ConsPlusNormal"/>
    <w:qFormat/>
    <w:pPr>
      <w:widowControl w:val="false"/>
      <w:autoSpaceDE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bidi="ar-SA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3">
    <w:name w:val="WW8Num13"/>
    <w:qFormat/>
  </w:style>
  <w:style w:type="numbering" w:styleId="WW8Num19">
    <w:name w:val="WW8Num19"/>
    <w:qFormat/>
  </w:style>
  <w:style w:type="numbering" w:styleId="WW8Num11">
    <w:name w:val="WW8Num11"/>
    <w:qFormat/>
  </w:style>
  <w:style w:type="numbering" w:styleId="WW8Num8">
    <w:name w:val="WW8Num8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561D9DA64E53C0FCFD02859F57C0330CDB0159AB2A43EF90FAEE902B97DAC5F2A0DE69390A17597F7D6D931c428E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Application>LibreOffice/7.5.5.2$Windows_X86_64 LibreOffice_project/ca8fe7424262805f223b9a2334bc7181abbcbf5e</Application>
  <AppVersion>15.0000</AppVersion>
  <DocSecurity>0</DocSecurity>
  <Pages>32</Pages>
  <Words>5174</Words>
  <Characters>35845</Characters>
  <CharactersWithSpaces>42636</CharactersWithSpaces>
  <Paragraphs>921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2022-06-27T06:38:00Z</cp:lastPrinted>
  <dcterms:modified xsi:type="dcterms:W3CDTF">2023-09-25T11:15:40Z</dcterms:modified>
  <cp:revision>143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