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185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4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3819"/>
      </w:tblGrid>
      <w:tr>
        <w:trPr/>
        <w:tc>
          <w:tcPr>
            <w:tcW w:w="6629" w:type="dxa"/>
            <w:tcBorders/>
          </w:tcPr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и дополнений в постановление Администрации города Шарыпово </w:t>
            </w:r>
          </w:p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03.10.2013г. № 236 «Об утверждении муниципальной программы «Управление муниципальным имуществом муниципального образования города </w:t>
            </w:r>
          </w:p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Шарыпово» (в ред. от 13.09.2024 № 176)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/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Style22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10.10.2023 № 251; от 13.11.2023 № 289; от 19.02.2024 № 33; от 25.06.2024 № 142; от 13.09.2024 № 176) следующие изменения: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«127077,39; 13351,58; 124741,95; 12693,50» заменить цифрами «127182,49; 13456,68; 124847,05; 12798,60» соответственно.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1.2.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«113532,95; 12501,58; 111197,51; 11843,50» заменить цифрами «113638,05; 12606,68; 111302,61; 11948,60» соответственно.   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</w:t>
      </w:r>
      <w:r>
        <w:rPr/>
        <w:t xml:space="preserve"> строку 4, итого по подпрограмме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268"/>
        <w:gridCol w:w="1134"/>
        <w:gridCol w:w="283"/>
        <w:gridCol w:w="426"/>
        <w:gridCol w:w="850"/>
        <w:gridCol w:w="425"/>
        <w:gridCol w:w="709"/>
        <w:gridCol w:w="709"/>
        <w:gridCol w:w="850"/>
        <w:gridCol w:w="709"/>
        <w:gridCol w:w="709"/>
      </w:tblGrid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0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ind w:hanging="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179" w:leader="none"/>
              </w:tabs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10 746</w:t>
            </w:r>
            <w:r>
              <w:rPr>
                <w:sz w:val="14"/>
                <w:szCs w:val="14"/>
              </w:rPr>
              <w:t xml:space="preserve">,87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10 641,77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10 641,77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32 030,41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ind w:left="-112" w:right="-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389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699,00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99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12 606,68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36 293,68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95"/>
        <w:gridCol w:w="1276"/>
        <w:gridCol w:w="1134"/>
        <w:gridCol w:w="425"/>
        <w:gridCol w:w="426"/>
        <w:gridCol w:w="850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13 </w:t>
            </w:r>
            <w:r>
              <w:rPr>
                <w:sz w:val="14"/>
                <w:szCs w:val="14"/>
              </w:rPr>
              <w:t>456,6</w:t>
            </w:r>
            <w:r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12 693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12 69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.50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38 </w:t>
            </w:r>
            <w:r>
              <w:rPr>
                <w:sz w:val="14"/>
                <w:szCs w:val="14"/>
              </w:rPr>
              <w:t>843,6</w:t>
            </w:r>
            <w:r>
              <w:rPr>
                <w:sz w:val="14"/>
                <w:szCs w:val="14"/>
                <w:lang w:val="en-US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4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13 456,68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38 843,68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12 606,68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36 293,68</w:t>
            </w:r>
          </w:p>
        </w:tc>
      </w:tr>
      <w:tr>
        <w:trPr>
          <w:trHeight w:val="411" w:hRule="atLeast"/>
        </w:trPr>
        <w:tc>
          <w:tcPr>
            <w:tcW w:w="4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/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12 606,68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36 293,68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1,3,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2024-2026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13 456,68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38 843,68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12 798,60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12 693,50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38 185,60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12 606,68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36 293,68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11 948,60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11 843,50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35 635,60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658,08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ConsNormal"/>
        <w:ind w:hanging="0" w:right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right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sz w:val="20"/>
      <w:szCs w:val="20"/>
    </w:rPr>
  </w:style>
  <w:style w:type="paragraph" w:styleId="Style23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4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left="720" w:right="0"/>
    </w:pPr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Application>LibreOffice/7.6.4.1$Windows_X86_64 LibreOffice_project/e19e193f88cd6c0525a17fb7a176ed8e6a3e2aa1</Application>
  <AppVersion>15.0000</AppVersion>
  <Pages>3</Pages>
  <Words>832</Words>
  <Characters>5707</Characters>
  <CharactersWithSpaces>6469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2024-06-17T14:21:00Z</cp:lastPrinted>
  <dcterms:modified xsi:type="dcterms:W3CDTF">2024-09-24T10:50:53Z</dcterms:modified>
  <cp:revision>108</cp:revision>
  <dc:subject/>
  <dc:title>Приложение 2</dc:title>
</cp:coreProperties>
</file>