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08" w:left="7788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 w:left="7788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08.10.2021</w:t>
        <w:tab/>
        <w:tab/>
        <w:tab/>
        <w:tab/>
        <w:tab/>
        <w:tab/>
        <w:tab/>
        <w:tab/>
        <w:tab/>
        <w:tab/>
        <w:tab/>
        <w:t>№ 199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Приложение к постановлению «муниципальная программа «Развитие транспортной системы муниципального образования «город Шарыпово Красноярского края»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left="0" w:firstLine="5103" w:right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 w:right="0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08.10.2021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199</w:t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</w:t>
      </w:r>
    </w:p>
    <w:p>
      <w:pPr>
        <w:pStyle w:val="ConsPlusNormal"/>
        <w:widowControl/>
        <w:numPr>
          <w:ilvl w:val="0"/>
          <w:numId w:val="0"/>
        </w:numPr>
        <w:ind w:left="0" w:firstLine="5103" w:right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ind w:firstLine="5103" w:right="0"/>
        <w:rPr/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04.10.2013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241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tLeast" w:line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транспортной системы муниципального образования</w:t>
      </w:r>
    </w:p>
    <w:p>
      <w:pPr>
        <w:pStyle w:val="Normal"/>
        <w:spacing w:lineRule="atLeast" w:line="23"/>
        <w:jc w:val="center"/>
        <w:rPr/>
      </w:pPr>
      <w:r>
        <w:rPr>
          <w:color w:val="000000"/>
          <w:sz w:val="28"/>
          <w:szCs w:val="28"/>
        </w:rPr>
        <w:t>«город Шарыпово Красноярского края»</w:t>
      </w:r>
    </w:p>
    <w:p>
      <w:pPr>
        <w:pStyle w:val="Normal"/>
        <w:spacing w:lineRule="atLeast" w:line="23" w:before="240" w:after="240"/>
        <w:jc w:val="center"/>
        <w:rPr/>
      </w:pPr>
      <w:r>
        <w:rPr>
          <w:b/>
          <w:color w:val="000000"/>
          <w:sz w:val="28"/>
          <w:szCs w:val="28"/>
        </w:rPr>
        <w:t>1. Паспорт муниципальной 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Развитие транспортной системы муниципального образования «город Шарыпово Красноярского края (далее – программа)</w:t>
            </w:r>
          </w:p>
        </w:tc>
      </w:tr>
      <w:tr>
        <w:trPr>
          <w:trHeight w:val="355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>
          <w:trHeight w:val="134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1177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Администрация города Шарыпово;</w:t>
            </w:r>
          </w:p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192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Подпрограмма: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1. Обеспечение сохранности, модернизация и развитие сети автомобильных дорог;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2. Повышение безопасности дорожного движения.</w:t>
            </w:r>
          </w:p>
        </w:tc>
      </w:tr>
      <w:tr>
        <w:trPr>
          <w:trHeight w:val="111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1. 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1.Обеспечение сохранности, модернизация и развитие сети автомобильных дорог;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jc w:val="both"/>
              <w:outlineLvl w:val="1"/>
              <w:rPr/>
            </w:pPr>
            <w:r>
              <w:rPr>
                <w:color w:val="000000"/>
                <w:sz w:val="28"/>
                <w:szCs w:val="28"/>
              </w:rPr>
              <w:t>2. 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2014-2024 гг.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color w:val="000000"/>
                <w:sz w:val="28"/>
                <w:szCs w:val="28"/>
              </w:rPr>
              <w:t>Перечень целевых показателей муниципальной программы,</w:t>
            </w:r>
            <w:r>
              <w:rPr>
                <w:rFonts w:eastAsia="Calibri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№1 к Паспорту муниципальной программы</w:t>
            </w:r>
          </w:p>
        </w:tc>
      </w:tr>
      <w:tr>
        <w:trPr>
          <w:trHeight w:val="91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2014 - 2024 годах предусматривает финансирование – 685 270,02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 г. – 31 209,47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16 729,87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14 479,60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2015 г. – 55 198,81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21 730,61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33 468,20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2016 г. – 56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947,11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27 145,71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29 801,40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53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777,03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21 558,93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32 218,10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53 341,76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21 483,86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31 857,90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66 229,61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23 072,31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43 157,30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71 627,51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31 151,56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40 475,95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81 839,87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35 563,87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46 276,00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71 043,35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29 634,35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41 409,00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72 027,75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29 715,25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42 312,50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72 027,75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29 715,25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42 312,50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lineRule="atLeast" w:line="23" w:before="240" w:after="240"/>
        <w:ind w:firstLine="601" w:right="-17"/>
        <w:jc w:val="center"/>
        <w:rPr/>
      </w:pPr>
      <w:r/>
      <w:r>
        <w:rPr>
          <w:b/>
          <w:color w:val="000000"/>
          <w:sz w:val="28"/>
          <w:szCs w:val="28"/>
          <w:lang w:val="ru-RU" w:eastAsia="ru-RU"/>
        </w:rPr>
        <w:t xml:space="preserve">2. Характирискика текущего состояния дорожного хозяйства с указанием основных показателей социально-экономического развития муниципального образования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96%.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на территории муниципального образования имеется 14 мостов общей протяженностью 229,8 погонных метров, в том числе 9 автомобильных, из которых: 4 водопропускные трубы в полотне автомобильных дорог и 5 пешеходных мостов. Плотность автомобильных дорог общего пользования с твердым покрытием составляет 0,05 километров дорог на 1000 квадратных метров территории;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 xml:space="preserve">В целях организации дорожного движения в настоящее время на перекрестках дорог в городе Шарыпово установлено 18 светофорных объектов (в том числе 4 – Т7). На территории города Шарыпово, поселков Дубинино и Горячегорск установлено около 2030 знаков с дорожной информацией, имеются щиты маршрутного ориентирования. 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Основной проблемой дорожного комплекса на протяжении длительного периода времени является недостаточное финансирование данного направления.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 xml:space="preserve">С 2008 года муниципальное образование получает субсидии краевого бюджета на ремонт автомобильных дорог. За эти годы выполнен ремонт 23,2 км дорог. Так же требуют ремонта и многие тротуары, построенные более 30лет назад. На улицах малоэтажной застройки, построенных в последние годы, отсутствуют как дороги с твердым покрытием, тротуары, так и часть сетей уличного освещения. Требуют реконструкции мосты через реку на улицах Октябрьская и Ленина, которые построены более 60лет назад. 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В целях повышения безопасности дорожного движения в бюджете города Шарыпово выделяются средства на выполнение работ по организации безопасности дорожного движения: содержание и ремонт существующих средств регулирования дорожного движения. Разработаны проекты организации дорожного движения. </w:t>
      </w:r>
    </w:p>
    <w:p>
      <w:pPr>
        <w:pStyle w:val="Normal"/>
        <w:widowControl w:val="false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реализация данной 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сети.</w:t>
      </w:r>
    </w:p>
    <w:p>
      <w:pPr>
        <w:pStyle w:val="Normal"/>
        <w:spacing w:lineRule="atLeast" w:line="23" w:before="240" w:after="240"/>
        <w:ind w:right="-17"/>
        <w:jc w:val="center"/>
        <w:rPr/>
      </w:pPr>
      <w:r>
        <w:rPr>
          <w:b/>
          <w:color w:val="000000"/>
          <w:sz w:val="28"/>
          <w:szCs w:val="28"/>
          <w:lang w:val="ru-RU" w:eastAsia="ru-RU"/>
        </w:rPr>
        <w:t>3. Приоритеты и цели социально-экономического в сфере дорожного хозяйства,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/>
      </w:pPr>
      <w:r>
        <w:rPr>
          <w:color w:val="000000"/>
          <w:sz w:val="28"/>
          <w:szCs w:val="28"/>
        </w:rPr>
        <w:t>Целью программы является: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</w:rPr>
        <w:t>- развитие современной и эффективной транспортной инфраструктуры.</w:t>
      </w:r>
    </w:p>
    <w:p>
      <w:pPr>
        <w:pStyle w:val="BodyTextIndent"/>
        <w:spacing w:before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Достижение цели обеспечивается, прежде всего, сохранением и модернизацией существующей сети автодорог за счет проведения комплекса работ по их содержанию, ремонту, а также повышением надежности и безопасности движения на автомобильных дорогах.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>Задача1.</w:t>
      </w:r>
      <w:r>
        <w:rPr>
          <w:color w:val="000000"/>
          <w:sz w:val="28"/>
          <w:szCs w:val="28"/>
        </w:rPr>
        <w:t xml:space="preserve"> Обеспечение сохранности, модернизация и развитие сети автомобильных дорог:</w:t>
      </w:r>
    </w:p>
    <w:p>
      <w:pPr>
        <w:pStyle w:val="Normal"/>
        <w:autoSpaceDE w:val="false"/>
        <w:spacing w:lineRule="atLeast" w:line="23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 xml:space="preserve">Задача 2. </w:t>
      </w:r>
      <w:r>
        <w:rPr>
          <w:color w:val="000000"/>
          <w:sz w:val="28"/>
          <w:szCs w:val="28"/>
        </w:rPr>
        <w:t>Безопасность дорожного движения и повышение доступности транспортных услуг для населения муниципального образования</w:t>
      </w:r>
    </w:p>
    <w:p>
      <w:pPr>
        <w:pStyle w:val="BodyTextIndent"/>
        <w:spacing w:before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В результате решения вышеуказанных задач уровень оказываемых услуг в части обеспечения комфортности, мобильности, безопасности и доступности, автомобильных дорог существенно повысится.</w:t>
      </w:r>
    </w:p>
    <w:p>
      <w:pPr>
        <w:pStyle w:val="BodyTextIndent"/>
        <w:spacing w:before="240" w:after="120"/>
        <w:ind w:firstLine="709" w:left="0" w:right="0"/>
        <w:jc w:val="center"/>
        <w:rPr/>
      </w:pPr>
      <w:r>
        <w:rPr>
          <w:b/>
          <w:bCs/>
          <w:color w:val="000000"/>
          <w:sz w:val="28"/>
          <w:szCs w:val="28"/>
        </w:rPr>
        <w:t>4. Прогноз конечных результатов реализации муниципальной программы</w:t>
      </w:r>
      <w:r>
        <w:rPr>
          <w:b/>
          <w:bCs/>
          <w:color w:val="000000"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eastAsia="ru-RU"/>
        </w:rPr>
        <w:t xml:space="preserve">характеризующих целевое состояние (изменение состояния) уровня и качества жизни населения, социально-экономическое развитие </w:t>
      </w:r>
      <w:r>
        <w:rPr>
          <w:b/>
          <w:color w:val="000000"/>
          <w:sz w:val="28"/>
          <w:szCs w:val="28"/>
          <w:lang w:val="ru-RU" w:eastAsia="ru-RU"/>
        </w:rPr>
        <w:t>в сфере дорожного хозяйства</w:t>
      </w:r>
      <w:r>
        <w:rPr>
          <w:b/>
          <w:sz w:val="28"/>
          <w:szCs w:val="28"/>
          <w:lang w:eastAsia="ru-RU"/>
        </w:rPr>
        <w:t>, экономики, степени реализации других общественно значимых интересов</w:t>
      </w:r>
    </w:p>
    <w:p>
      <w:pPr>
        <w:pStyle w:val="BodyTextIndent"/>
        <w:spacing w:before="0" w:after="0"/>
        <w:ind w:firstLine="708" w:left="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Конечными результатами реализации программы являются: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задач;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безопасности транспортной системы и снижение вредного воздействия на окружающую среду;</w:t>
      </w:r>
    </w:p>
    <w:p>
      <w:pPr>
        <w:pStyle w:val="Normal"/>
        <w:widowControl w:val="false"/>
        <w:autoSpaceDE w:val="false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обслуживание дорожной сети для обеспечения потребностей экономики и населения края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</w:p>
    <w:p>
      <w:pPr>
        <w:pStyle w:val="Normal"/>
        <w:autoSpaceDE w:val="false"/>
        <w:spacing w:lineRule="atLeast" w:line="23"/>
        <w:ind w:firstLine="70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overflowPunct w:val="false"/>
        <w:autoSpaceDE w:val="false"/>
        <w:spacing w:before="240" w:after="240"/>
        <w:ind w:firstLine="851" w:right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/>
      </w:pPr>
      <w:r>
        <w:rPr>
          <w:color w:val="000000"/>
          <w:sz w:val="28"/>
          <w:szCs w:val="28"/>
          <w:u w:val="single"/>
        </w:rPr>
        <w:t>Подпрограмма 1.</w:t>
      </w:r>
      <w:r>
        <w:rPr>
          <w:color w:val="000000"/>
          <w:sz w:val="28"/>
          <w:szCs w:val="28"/>
        </w:rPr>
        <w:t xml:space="preserve"> - Обеспечение сохранности, модернизация и развитие сети автомобильных дорог.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Срок реализации подпрограммы – 2014-2024 годы.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 позволит реализовать проведение социально-значимых мероприятий по обеспечению сохранности, развитию современной и эффективной транспортной инфраструктуры.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Протяженность автомобильных дорог общего пользования на территории муниципального образования составляет 208,1 км., в том числе с твердым покрытием – 196,0 км. Автомобильные дороги с усовершенствованным типом покрытия в объеме 140,2 км. Протяженность грунтовых дорог составляет 12,1 км. Удельный вес автомобильных дорог с твердым покрытием в общей протяженности автомобильных дорог общего пользования составляет 96%.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на территории муниципального образования имеется 14 мостов общей протяженностью 229,8 погонных метров, в том числе 9 автомобильных, из которых: 4 водопропускные трубы в полотне автомобильных дорог и 5 пешеходных мостов. Плотность автомобильных дорог общего пользования с твердым покрытием составляет 0,05 километров дорог на 1000 квадратных метров территории;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Основной проблемой дорожной деятельности на протяжении длительного периода времени является недостаточное финансирование.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>
      <w:pPr>
        <w:pStyle w:val="Normal"/>
        <w:tabs>
          <w:tab w:val="clear" w:pos="708"/>
          <w:tab w:val="left" w:pos="504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Количественный рост автомобильного парка и современных транспортных средств приводит к ускоренному износу и преждевременному разрушению автомобильных дорог и искусственных сооружений на них.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В сложившихся условиях в целях обеспечения сохранности автомобильных дорог местного значения, муниципальное образование получает субсидии краевого бюджета на содержание и ремонт автомобильных дорог местного значения в рамках реализации мероприятий краевой целевой программы «Дороги Красноярья».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Таким образом, реализация данной подпрограммы позволит не только поддерживать существующие автомобильные дороги и средства регулирования дорожного движения, но и проводить работы по развитию и модернизации улично-дорожной сети муниципального образования «город Шарыпово Красноярского края».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сохранности, развитие современной и эффективной транспортной инфраструктуры.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выполнение работ по ремонту автомобильных дорог общего пользования местного значения и искусственных сооружений на них.</w:t>
      </w:r>
    </w:p>
    <w:p>
      <w:pPr>
        <w:pStyle w:val="BodyTextIndent"/>
        <w:tabs>
          <w:tab w:val="clear" w:pos="708"/>
          <w:tab w:val="left" w:pos="1274" w:leader="none"/>
        </w:tabs>
        <w:spacing w:before="0" w:after="0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позволит достичь следующих результатов:</w:t>
      </w:r>
    </w:p>
    <w:p>
      <w:pPr>
        <w:pStyle w:val="Normal"/>
        <w:ind w:firstLine="709" w:right="53"/>
        <w:jc w:val="both"/>
        <w:rPr/>
      </w:pPr>
      <w:r>
        <w:rPr>
          <w:color w:val="000000"/>
          <w:sz w:val="28"/>
          <w:szCs w:val="28"/>
        </w:rPr>
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2024 году;</w:t>
      </w:r>
    </w:p>
    <w:p>
      <w:pPr>
        <w:pStyle w:val="Normal"/>
        <w:ind w:firstLine="709" w:right="53"/>
        <w:jc w:val="both"/>
        <w:rPr/>
      </w:pPr>
      <w:r>
        <w:rPr>
          <w:color w:val="000000"/>
          <w:sz w:val="28"/>
          <w:szCs w:val="28"/>
        </w:rPr>
        <w:t>увеличить долю протяженности автомобильных дорог общего пользования местного значения, на которой проведены работы по ремонту в общей протяженности сети до 13,1 % к 2024 году.</w:t>
      </w:r>
    </w:p>
    <w:p>
      <w:pPr>
        <w:pStyle w:val="ConsPlusNormal"/>
        <w:ind w:firstLine="709" w:right="0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color w:val="000000"/>
            <w:sz w:val="28"/>
            <w:szCs w:val="28"/>
            <w:lang w:eastAsia="en-US"/>
          </w:rPr>
          <w:t>Подпрограмма 1</w:t>
        </w:r>
      </w:hyperlink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приведена в приложении № 3 к программе.</w:t>
      </w:r>
    </w:p>
    <w:p>
      <w:pPr>
        <w:pStyle w:val="Normal"/>
        <w:ind w:firstLine="709" w:right="53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  <w:u w:val="single"/>
        </w:rPr>
        <w:t>Подпрограмма 2.</w:t>
      </w:r>
      <w:r>
        <w:rPr>
          <w:color w:val="000000"/>
          <w:sz w:val="28"/>
          <w:szCs w:val="28"/>
        </w:rPr>
        <w:t xml:space="preserve"> - Повышение безопасности дорожного движения.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>Срок реализации подпрограммы – 2014-2024 годы.</w:t>
      </w:r>
    </w:p>
    <w:p>
      <w:pPr>
        <w:pStyle w:val="Normal"/>
        <w:widowControl w:val="false"/>
        <w:autoSpaceDE w:val="false"/>
        <w:ind w:firstLine="709" w:right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Одной из самых острых социально-экономических проблем является высокая аварийность на автомобильных дорогах.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Быстрый рост автомобилизации с каждым годом увеличивает городской автомобильный парк и количество вовлекаемых в сферу дорожного движения людей. Рост автомобильного парка и объема перевозок ведет к увеличению интенсивности движения, что приводит к возникновению транспортных проблем при движении по автомобильным дорогам.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Переменный режим движения, частые остановки и скопления автомобилей на перекрестках являются причинами повышенного загрязнения воздуха муниципального образования продуктами неполного сгорания топлива. Городское население постоянно подвержено воздействию транспортного шума и отработавших газов.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Одновременно растет и количество дорожно-транспортных происшествий (ДТП), в которых гибнут и получают ранения люди. При этом на перекрестках, занимающих незначительную часть территории города, концентрируется более 30% всех ДТП.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безопасного движения в городских условиях требует применения комплекса мероприятий планировочного и организационного характера.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Организационные мероприятия способствуют упорядочению движения на уже существующей улично-дорожной сети. К числу таких мероприятий относятся установка технических средств регулирования дорожного движения. В то время как организация мероприятий планировочного характера требует, помимо значительных капиталовложений, довольно большого периода времени, организационные мероприятия способны привести к сравнительно быстрому эффекту, а в ряде случаев организационные мероприятия выступают в роли единственного средства для решения транспортной проблемы.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реализации мероприятий по организации дорожного движения особая роль принадлежит внедрению технических средств: дорожных знаков, средств светофорного регулирования, дорожных ограждений и направляющих устройств. При этом светофорное регулирование является одним из основных средств обеспечения безопасности движения на перекрестках. Опыт внедрения светофорного регулирования свидетельствует об его эффективности в решении транспортных проблем.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дорожного движения представляет собой комплекс инженерных и организационных мероприятий на существующей улично-дорожной сети, обеспечивающих безопасность и достаточную скорость транспортных и пешеходных потоков. К числу таких мероприятий относится управление дорожным движением, которое, как правило, решает задачи воздействия на тот или иной объект с целью улучшения его функционирования. 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Сущность управления заключается в том, чтобы обязывать водителей и пешеходов, запрещать или рекомендовать им совершение тех или иных действий в интересах обеспечения безопасности дорожного движения.</w:t>
      </w:r>
      <w:r>
        <w:rPr>
          <w:rFonts w:cs="Georgia" w:ascii="Georgia" w:hAnsi="Georgia"/>
          <w:color w:val="000000"/>
          <w:sz w:val="22"/>
          <w:szCs w:val="22"/>
        </w:rPr>
        <w:t xml:space="preserve">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светофорного регулирования позволяет снизить общее количество ДТП на 5-10%.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нарушениями водителями и пешеходами Правил дорожного движения особую роль в совершении ДТП играют сопутствующие факторы, в том числе и неудовлетворительное состояние технических средств организации дорожного движения. В числе наиболее распространенных причин таких ДТП входят: отсутствие, повреждение или неправильное применение дорожно-знаковой информации.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очагов аварийности обосновывает принятие управленческих решений и назначение инженерных мероприятий по повышению безопасности движения, а также позволяет осуществлять оперативное вмешательство в складывающуюся неблагоприятную дорожную ситуацию с целью улучшения условий для движения и охраны жизни граждан.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Мероприятия по обеспечению безопасности дорожного движения должны быть направлены на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снижение тяжести ДТП в результате регламентации скоростей движения и обеспечения контроля скоростных режимов и поведения водителей в местах повышенной опасности, а также проведение работ по устранению неудовлетворительных дорожных условий.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подпрограммы: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дорожного движения.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Задачи подпрограммы:</w:t>
      </w:r>
    </w:p>
    <w:p>
      <w:pPr>
        <w:pStyle w:val="Normal"/>
        <w:numPr>
          <w:ilvl w:val="0"/>
          <w:numId w:val="2"/>
        </w:numPr>
        <w:autoSpaceDE w:val="false"/>
        <w:ind w:firstLine="709" w:left="0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текущих регламентных работ по содержанию, ремонту средств регулирования дорожного движения;</w:t>
      </w:r>
    </w:p>
    <w:p>
      <w:pPr>
        <w:pStyle w:val="Normal"/>
        <w:numPr>
          <w:ilvl w:val="0"/>
          <w:numId w:val="2"/>
        </w:numPr>
        <w:autoSpaceDE w:val="false"/>
        <w:ind w:firstLine="709" w:left="0" w:right="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безубыточной деятельности организаций транспортного комплекса.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подпрограммы позволит достичь следующих результатов: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увеличить количество средств регулирования дорожного движения, работы, по содержанию которых выполняются в объеме действующих нормативов до 2115 ед. к 2024 году;</w:t>
      </w:r>
    </w:p>
    <w:p>
      <w:pPr>
        <w:pStyle w:val="Normal"/>
        <w:tabs>
          <w:tab w:val="clear" w:pos="708"/>
          <w:tab w:val="left" w:pos="0" w:leader="none"/>
        </w:tabs>
        <w:ind w:firstLine="709" w:right="-17"/>
        <w:jc w:val="both"/>
        <w:rPr/>
      </w:pPr>
      <w:r>
        <w:rPr>
          <w:color w:val="000000"/>
          <w:sz w:val="28"/>
          <w:szCs w:val="28"/>
        </w:rPr>
        <w:t>сохранить фактическое выполнение программы пассажирских перевозок по муниципальному заказу к утвержденной программе на уровне 100% к 2024 году.</w:t>
      </w:r>
    </w:p>
    <w:p>
      <w:pPr>
        <w:pStyle w:val="ConsPlusNormal"/>
        <w:ind w:firstLine="709" w:right="0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color w:val="000000"/>
            <w:sz w:val="28"/>
            <w:szCs w:val="28"/>
            <w:lang w:eastAsia="en-US"/>
          </w:rPr>
          <w:t>Подпрограмма 2</w:t>
        </w:r>
      </w:hyperlink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приведена в приложении № 4 к программе.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6. Основные меры правового регулирования,</w:t>
      </w:r>
    </w:p>
    <w:p>
      <w:pPr>
        <w:pStyle w:val="BodyText"/>
        <w:tabs>
          <w:tab w:val="clear" w:pos="708"/>
          <w:tab w:val="left" w:pos="0" w:leader="none"/>
        </w:tabs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709" w:right="0"/>
        <w:jc w:val="both"/>
        <w:rPr/>
      </w:pPr>
      <w:r>
        <w:rPr>
          <w:rFonts w:eastAsia="Calibri"/>
          <w:sz w:val="28"/>
          <w:szCs w:val="28"/>
          <w:lang w:eastAsia="en-US"/>
        </w:rPr>
        <w:t>Информация об основных мерах правового регулирования в сфере дорожного хозяйства, направленных на достижение цели и (или) задач муниципальной программы приведена в приложении №5 к программе.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firstLine="709" w:right="-17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right="-17"/>
        <w:jc w:val="center"/>
        <w:rPr/>
      </w:pPr>
      <w:r>
        <w:rPr>
          <w:b/>
          <w:bCs/>
          <w:color w:val="000000"/>
          <w:sz w:val="28"/>
          <w:szCs w:val="28"/>
          <w:lang w:val="ru-RU"/>
        </w:rPr>
        <w:t>8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  <w:lang w:val="ru-RU"/>
        </w:rPr>
        <w:t xml:space="preserve">Информация о </w:t>
      </w:r>
      <w:r>
        <w:rPr>
          <w:b/>
          <w:bCs/>
          <w:color w:val="000000"/>
          <w:sz w:val="28"/>
          <w:szCs w:val="28"/>
        </w:rPr>
        <w:t>ресурсн</w:t>
      </w:r>
      <w:r>
        <w:rPr>
          <w:b/>
          <w:bCs/>
          <w:color w:val="000000"/>
          <w:sz w:val="28"/>
          <w:szCs w:val="28"/>
          <w:lang w:val="ru-RU"/>
        </w:rPr>
        <w:t>ом</w:t>
      </w:r>
      <w:r>
        <w:rPr>
          <w:b/>
          <w:bCs/>
          <w:color w:val="000000"/>
          <w:sz w:val="28"/>
          <w:szCs w:val="28"/>
        </w:rPr>
        <w:t xml:space="preserve"> обеспечени</w:t>
      </w:r>
      <w:r>
        <w:rPr>
          <w:b/>
          <w:bCs/>
          <w:color w:val="000000"/>
          <w:sz w:val="28"/>
          <w:szCs w:val="28"/>
          <w:lang w:val="ru-RU"/>
        </w:rPr>
        <w:t>и</w:t>
      </w:r>
      <w:r>
        <w:rPr>
          <w:b/>
          <w:bCs/>
          <w:color w:val="000000"/>
          <w:sz w:val="28"/>
          <w:szCs w:val="28"/>
        </w:rPr>
        <w:t xml:space="preserve"> муниципальной программы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851" w:right="0"/>
        <w:jc w:val="both"/>
        <w:rPr/>
      </w:pPr>
      <w:hyperlink r:id="rId2">
        <w:r>
          <w:rPr>
            <w:rStyle w:val="Hyperlink"/>
            <w:rFonts w:eastAsia="Calibri"/>
            <w:sz w:val="28"/>
            <w:szCs w:val="28"/>
          </w:rPr>
          <w:t>Информаци</w:t>
        </w:r>
      </w:hyperlink>
      <w:r>
        <w:rPr>
          <w:rFonts w:eastAsia="Calibri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480"/>
        <w:gridCol w:w="1238"/>
        <w:gridCol w:w="2394"/>
        <w:gridCol w:w="656"/>
        <w:gridCol w:w="656"/>
        <w:gridCol w:w="656"/>
        <w:gridCol w:w="656"/>
        <w:gridCol w:w="696"/>
        <w:gridCol w:w="696"/>
        <w:gridCol w:w="696"/>
        <w:gridCol w:w="696"/>
        <w:gridCol w:w="696"/>
        <w:gridCol w:w="974"/>
        <w:gridCol w:w="974"/>
      </w:tblGrid>
      <w:tr>
        <w:trPr>
          <w:trHeight w:val="426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28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Приложение № 1 </w:t>
              <w:br/>
              <w:t xml:space="preserve">к паспорту муниципальной программы "Развитие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70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84" w:type="dxa"/>
            <w:gridSpan w:val="4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678" w:type="dxa"/>
            <w:gridSpan w:val="15"/>
            <w:tcBorders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5" w:hRule="atLeast"/>
        </w:trPr>
        <w:tc>
          <w:tcPr>
            <w:tcW w:w="5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8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 xml:space="preserve"> п/п</w:t>
            </w:r>
          </w:p>
        </w:tc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Цели, задачи, показатели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Год, предшествующий реализации муниципальной  программы                                                                                                                          (2013 год)</w:t>
            </w:r>
          </w:p>
        </w:tc>
        <w:tc>
          <w:tcPr>
            <w:tcW w:w="805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 муниципальной программы</w:t>
            </w:r>
          </w:p>
        </w:tc>
      </w:tr>
      <w:tr>
        <w:trPr>
          <w:trHeight w:val="1273" w:hRule="atLeast"/>
        </w:trPr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6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315" w:hRule="atLeast"/>
        </w:trPr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</w:t>
            </w:r>
          </w:p>
        </w:tc>
      </w:tr>
      <w:tr>
        <w:trPr>
          <w:trHeight w:val="60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64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>
                <w:sz w:val="18"/>
                <w:szCs w:val="18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Развитие современной и эффективной транспортной инфраструктуры, обеспечение безопасности дорожного движения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8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 и их удельный вес в общей протяженности сети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2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44,5</w:t>
            </w:r>
          </w:p>
        </w:tc>
      </w:tr>
      <w:tr>
        <w:trPr>
          <w:trHeight w:val="1575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2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2062"/>
        <w:gridCol w:w="2756"/>
        <w:gridCol w:w="2338"/>
        <w:gridCol w:w="692"/>
        <w:gridCol w:w="651"/>
        <w:gridCol w:w="701"/>
        <w:gridCol w:w="533"/>
        <w:gridCol w:w="962"/>
        <w:gridCol w:w="962"/>
        <w:gridCol w:w="962"/>
        <w:gridCol w:w="1511"/>
      </w:tblGrid>
      <w:tr>
        <w:trPr>
          <w:trHeight w:val="289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1" w:name="RANGE!A1%3AL18"/>
            <w:bookmarkStart w:id="2" w:name="RANGE!A1%3AL18"/>
            <w:bookmarkEnd w:id="2"/>
          </w:p>
        </w:tc>
        <w:tc>
          <w:tcPr>
            <w:tcW w:w="20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31" w:type="dxa"/>
            <w:gridSpan w:val="6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</w:t>
              <w:br/>
              <w:t>к муниципальной программе «Развитие транспортной системы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14678" w:type="dxa"/>
            <w:gridSpan w:val="12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ресурсном обеспечении муниципальной программы муниципального образования "город Шарыпово Красноярского края"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300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690" w:hRule="atLeast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№ </w:t>
            </w: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5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Код бюджетной классификации 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 год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2023 год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2024 год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 на 2022-2024 гг.</w:t>
            </w:r>
          </w:p>
        </w:tc>
      </w:tr>
      <w:tr>
        <w:trPr>
          <w:trHeight w:val="60" w:hRule="atLeast"/>
        </w:trPr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2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РзПр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ЦСР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ВР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план</w:t>
            </w:r>
          </w:p>
        </w:tc>
        <w:tc>
          <w:tcPr>
            <w:tcW w:w="1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2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</w:tr>
      <w:tr>
        <w:trPr>
          <w:trHeight w:val="261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Муниципальная программа</w:t>
            </w:r>
          </w:p>
        </w:tc>
        <w:tc>
          <w:tcPr>
            <w:tcW w:w="27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71 043,35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72 027,75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72 027,75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215 098,85</w:t>
            </w:r>
          </w:p>
        </w:tc>
      </w:tr>
      <w:tr>
        <w:trPr>
          <w:trHeight w:val="6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46 034,45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47 018,85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47 018,85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140 072,15</w:t>
            </w:r>
          </w:p>
        </w:tc>
      </w:tr>
      <w:tr>
        <w:trPr>
          <w:trHeight w:val="60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005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75 026,70</w:t>
            </w:r>
          </w:p>
        </w:tc>
      </w:tr>
      <w:tr>
        <w:trPr>
          <w:trHeight w:val="150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1.1.</w:t>
            </w:r>
          </w:p>
        </w:tc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Подпрограмма 1</w:t>
            </w:r>
          </w:p>
        </w:tc>
        <w:tc>
          <w:tcPr>
            <w:tcW w:w="27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43 549,40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132 617,00</w:t>
            </w:r>
          </w:p>
        </w:tc>
      </w:tr>
      <w:tr>
        <w:trPr>
          <w:trHeight w:val="18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297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43 549,40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132 617,00</w:t>
            </w:r>
          </w:p>
        </w:tc>
      </w:tr>
      <w:tr>
        <w:trPr>
          <w:trHeight w:val="329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1.2.</w:t>
            </w:r>
          </w:p>
        </w:tc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Подпрограмма 2</w:t>
            </w:r>
          </w:p>
        </w:tc>
        <w:tc>
          <w:tcPr>
            <w:tcW w:w="27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Повышение безопасности дорожного движения</w:t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27 493,95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27 493,95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  <w:sz w:val="20"/>
                <w:szCs w:val="22"/>
              </w:rPr>
              <w:t>27 493,95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82 481,85</w:t>
            </w:r>
          </w:p>
        </w:tc>
      </w:tr>
      <w:tr>
        <w:trPr>
          <w:trHeight w:val="30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в том числе по ГРБС: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005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25 008,90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75 026,70</w:t>
            </w:r>
          </w:p>
        </w:tc>
      </w:tr>
      <w:tr>
        <w:trPr>
          <w:trHeight w:val="300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МКУ "СГХ"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Х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2 485,05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2 485,05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2 485,05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7 455,15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firstLine="851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431"/>
        <w:gridCol w:w="3462"/>
        <w:gridCol w:w="2806"/>
        <w:gridCol w:w="1169"/>
        <w:gridCol w:w="1169"/>
        <w:gridCol w:w="1169"/>
        <w:gridCol w:w="1878"/>
      </w:tblGrid>
      <w:tr>
        <w:trPr>
          <w:trHeight w:val="378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3" w:name="RANGE!A1%3AH25"/>
            <w:bookmarkStart w:id="4" w:name="RANGE!A1%3AH25"/>
            <w:bookmarkEnd w:id="4"/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85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</w:t>
              <w:br/>
              <w:t>к муниципальной программе «Развитие транспортной системы муниципального образования «город Шарыпово Красноярского края»</w:t>
            </w:r>
          </w:p>
        </w:tc>
      </w:tr>
      <w:tr>
        <w:trPr>
          <w:trHeight w:val="7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4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6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0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471" w:hRule="atLeast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1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2022-2024гг.</w:t>
            </w:r>
          </w:p>
        </w:tc>
      </w:tr>
      <w:tr>
        <w:trPr>
          <w:trHeight w:val="450" w:hRule="atLeast"/>
        </w:trPr>
        <w:tc>
          <w:tcPr>
            <w:tcW w:w="5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0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8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4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71 043,35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72 027,75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72 027,75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215 098,85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29 634,35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29 715,25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29 715,25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89 064,85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41 409,00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42 312,50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42 312,50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126 034,00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4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43 549,40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44 533,80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44 533,80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132 617,00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2 452,00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2 532,90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2 532,90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7 517,80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41 097,40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42 000,90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42 000,90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125 099,20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4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82 481,85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27 182,35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27 182,35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27 182,35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81 547,05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934,80</w:t>
            </w:r>
          </w:p>
        </w:tc>
      </w:tr>
      <w:tr>
        <w:trPr>
          <w:trHeight w:val="30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4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№3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/>
      </w:pPr>
      <w:r>
        <w:rPr>
          <w:color w:val="000000"/>
          <w:sz w:val="28"/>
          <w:szCs w:val="28"/>
        </w:rPr>
        <w:t>Обеспечение сохранности, модернизация</w:t>
      </w:r>
    </w:p>
    <w:p>
      <w:pPr>
        <w:pStyle w:val="Normal"/>
        <w:autoSpaceDE w:val="false"/>
        <w:jc w:val="center"/>
        <w:rPr/>
      </w:pPr>
      <w:r>
        <w:rPr>
          <w:color w:val="000000"/>
          <w:sz w:val="28"/>
          <w:szCs w:val="28"/>
        </w:rPr>
        <w:t>и развитие сети автомобильных дорог муниципального образования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«город Шарыпово Красноярского края»</w:t>
      </w:r>
    </w:p>
    <w:p>
      <w:pPr>
        <w:pStyle w:val="Normal"/>
        <w:spacing w:before="240" w:after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839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модернизация и развитие сети автомобильных дорог</w:t>
            </w:r>
          </w:p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(далее – подпрограмма)</w:t>
            </w:r>
          </w:p>
        </w:tc>
      </w:tr>
      <w:tr>
        <w:trPr>
          <w:trHeight w:val="15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65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220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сохранности, развитие современной и эффективной транспортной инфраструктуры.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выполнение текущих регламентных работ по содержанию автомобильных дорог общего пользования местного значения и искусственных сооружений на них;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160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Обеспечение доли протяженности автомобильных дорог общего пользования местного значения, работы,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на уровне 44,9% к 2024г.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Увеличение доли протяженности автомобильных дорог общего пользования местного значения, на которой проведены работы по ремонту в общей протяженности сети до 13,1 % к 2024 году</w:t>
            </w:r>
          </w:p>
          <w:p>
            <w:pPr>
              <w:pStyle w:val="Normal"/>
              <w:spacing w:before="0" w:after="160"/>
              <w:ind w:right="-17"/>
              <w:jc w:val="both"/>
              <w:rPr/>
            </w:pPr>
            <w:hyperlink w:anchor="P3334">
              <w:r>
                <w:rPr>
                  <w:rStyle w:val="Hyperlink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2014-2024 г.г.</w:t>
            </w:r>
          </w:p>
        </w:tc>
      </w:tr>
      <w:tr>
        <w:trPr>
          <w:trHeight w:val="70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программы в 2014 - 2024 годах предусматривает финансирование – 424 824,04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20 313,80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5 881,00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14 432,80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38 167,76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4 699,56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33 468,20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37 340,00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7 771,40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29 568,60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34 279,00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2 309,20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31 969,80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33 775,80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2 166,20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31 609,60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37 604,42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2 221,22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35 383,20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41 196,20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2 557,30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38 638,90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49 530,06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4 036,36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45 493,70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43 549,40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2 452,00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41 097,40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44 533,80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2 532,90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42 000,90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44 533,80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2 532,90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42 000,90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color w:val="000000"/>
          <w:sz w:val="28"/>
          <w:szCs w:val="28"/>
          <w:lang w:val="ru-RU" w:eastAsia="ru-RU"/>
        </w:rPr>
      </w:pPr>
      <w:r/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 распорядителем бюджетных средств является Муниципальное казенное учреждение «Служба городского хозяйства».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6749"/>
        <w:gridCol w:w="1443"/>
        <w:gridCol w:w="1983"/>
        <w:gridCol w:w="972"/>
        <w:gridCol w:w="972"/>
        <w:gridCol w:w="972"/>
        <w:gridCol w:w="972"/>
      </w:tblGrid>
      <w:tr>
        <w:trPr>
          <w:trHeight w:val="289" w:hRule="atLeast"/>
        </w:trPr>
        <w:tc>
          <w:tcPr>
            <w:tcW w:w="6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4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71" w:type="dxa"/>
            <w:gridSpan w:val="5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315" w:hRule="atLeast"/>
        </w:trPr>
        <w:tc>
          <w:tcPr>
            <w:tcW w:w="6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4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3706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6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4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" w:hRule="atLeast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6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63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1190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6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67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Доля протяженности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тыс.кв.м.</w:t>
            </w:r>
          </w:p>
        </w:tc>
        <w:tc>
          <w:tcPr>
            <w:tcW w:w="19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430,20</w:t>
            </w:r>
          </w:p>
        </w:tc>
      </w:tr>
      <w:tr>
        <w:trPr>
          <w:trHeight w:val="720" w:hRule="atLeast"/>
        </w:trPr>
        <w:tc>
          <w:tcPr>
            <w:tcW w:w="6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работ по ремонту автомобильных дорог общего пользования местного значения и искусственных сооружений на них.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7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Доля протяженности автомобильных дорог общего пользования местного значения, на которой проведены работы по ремонту  в общей протяженности сети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%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3644"/>
        <w:gridCol w:w="872"/>
        <w:gridCol w:w="739"/>
        <w:gridCol w:w="695"/>
        <w:gridCol w:w="1329"/>
        <w:gridCol w:w="546"/>
        <w:gridCol w:w="786"/>
        <w:gridCol w:w="786"/>
        <w:gridCol w:w="786"/>
        <w:gridCol w:w="999"/>
        <w:gridCol w:w="2933"/>
      </w:tblGrid>
      <w:tr>
        <w:trPr>
          <w:trHeight w:val="1423" w:hRule="atLeast"/>
        </w:trPr>
        <w:tc>
          <w:tcPr>
            <w:tcW w:w="56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04" w:type="dxa"/>
            <w:gridSpan w:val="4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Приложение № 2</w:t>
              <w:br/>
              <w:t>к подпрограмме «Обеспечение сохранности, модернизация и развитие сети автомобильных дорог»</w:t>
            </w:r>
          </w:p>
        </w:tc>
      </w:tr>
      <w:tr>
        <w:trPr>
          <w:trHeight w:val="70" w:hRule="atLeast"/>
        </w:trPr>
        <w:tc>
          <w:tcPr>
            <w:tcW w:w="56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15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70" w:hRule="atLeast"/>
        </w:trPr>
        <w:tc>
          <w:tcPr>
            <w:tcW w:w="56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4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7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№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w="3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Цели, задачи, мероприятия подпрограммы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ГРБС </w:t>
            </w:r>
          </w:p>
        </w:tc>
        <w:tc>
          <w:tcPr>
            <w:tcW w:w="33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w="33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Расходы по годам реализации программы, тыс.рублей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155" w:hRule="atLeast"/>
        </w:trPr>
        <w:tc>
          <w:tcPr>
            <w:tcW w:w="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</w:r>
          </w:p>
        </w:tc>
        <w:tc>
          <w:tcPr>
            <w:tcW w:w="3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ГРБС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РзПр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ЦСР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ВР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2023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2"/>
              </w:rPr>
            </w:pPr>
            <w:r>
              <w:rPr>
                <w:sz w:val="22"/>
              </w:rPr>
              <w:t>итого на 2022-2024гг.</w:t>
            </w:r>
          </w:p>
        </w:tc>
        <w:tc>
          <w:tcPr>
            <w:tcW w:w="2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411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ЦЕЛЬ: Обеспечение сохранности, развитие современной и эффективной транспортной инфраструктуры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1                                                                                                                                                      Выполнение текущих регламентных работ по содержанию автомобильных дорог общего пользования местного  значения и искусственных сооружений на них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24 853,59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25 837,99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25 837,99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76 529,57</w:t>
            </w:r>
          </w:p>
        </w:tc>
        <w:tc>
          <w:tcPr>
            <w:tcW w:w="29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Содержание 208,1 км автомобильных дорог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Долевое финансирование на содержание автомобильных дорог общего пользования местного значения городских округов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09100S5080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221,09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221,09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221,09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663,27</w:t>
            </w:r>
          </w:p>
        </w:tc>
        <w:tc>
          <w:tcPr>
            <w:tcW w:w="29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Cодержание автомобильных дорог общего пользования местного значения за счет средств дорожного фонда города Шарыпово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0910085780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2 045,80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2 126,70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2 126,70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6 299,20</w:t>
            </w:r>
          </w:p>
        </w:tc>
        <w:tc>
          <w:tcPr>
            <w:tcW w:w="29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1.3.</w:t>
            </w:r>
          </w:p>
        </w:tc>
        <w:tc>
          <w:tcPr>
            <w:tcW w:w="3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Cодержание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0910075080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22 586,70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23 490,20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23 490,20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69 567,10</w:t>
            </w:r>
          </w:p>
        </w:tc>
        <w:tc>
          <w:tcPr>
            <w:tcW w:w="29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2                                                                                                                                                                      Выполнение работ по 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18 695,81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18 695,81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18 695,81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56 087,43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2.1.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</w:rPr>
            </w:pPr>
            <w:r>
              <w:rPr>
                <w:sz w:val="22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09100S5090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185,11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185,11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185,11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555,33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1185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2.2.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</w:rPr>
            </w:pPr>
            <w:r>
              <w:rPr>
                <w:sz w:val="22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0409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0910075090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18 510,70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18 510,70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18 510,70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55 532,10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 том числе: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43 549,40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132 617,00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3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sz w:val="22"/>
              </w:rPr>
            </w:pPr>
            <w:r>
              <w:rPr>
                <w:sz w:val="22"/>
              </w:rPr>
              <w:t>ГРБС1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43 549,40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44 533,80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132 617,00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№4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numPr>
          <w:ilvl w:val="0"/>
          <w:numId w:val="0"/>
        </w:numPr>
        <w:autoSpaceDE w:val="false"/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безопасности дорожного движения</w:t>
      </w:r>
    </w:p>
    <w:p>
      <w:pPr>
        <w:pStyle w:val="Normal"/>
        <w:autoSpaceDE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«город Шарыпово Красноярского края»</w:t>
      </w:r>
    </w:p>
    <w:p>
      <w:pPr>
        <w:pStyle w:val="Normal"/>
        <w:spacing w:before="240" w:after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дорожного движения 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160"/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78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160"/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безопасности дорожного движения.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ind w:hanging="0" w:left="33" w:right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текущих регламентных работ по содержанию, ремонту средств регулирования дорожного движения;</w:t>
            </w:r>
          </w:p>
          <w:p>
            <w:pPr>
              <w:pStyle w:val="Normal"/>
              <w:numPr>
                <w:ilvl w:val="0"/>
                <w:numId w:val="5"/>
              </w:numPr>
              <w:autoSpaceDE w:val="false"/>
              <w:spacing w:before="0" w:after="160"/>
              <w:ind w:hanging="0" w:left="33" w:right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безубыточной деятельности организаций транспортного комплекса.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Количество средств регулирования дорожного движения, работы, по содержанию которых выполняются в объеме действующих нормативов – 2115 ед. к 2024 году;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Фактическое выполнение программы пассажирских перевозок по муниципальному заказу к утвержденной программе – 100% к 2024 году</w:t>
            </w:r>
          </w:p>
          <w:p>
            <w:pPr>
              <w:pStyle w:val="Normal"/>
              <w:spacing w:before="0" w:after="160"/>
              <w:rPr/>
            </w:pPr>
            <w:hyperlink w:anchor="P3334">
              <w:r>
                <w:rPr>
                  <w:rStyle w:val="Hyperlink"/>
                  <w:color w:val="000000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2014-2024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Выполнение мероприятий подпрограммы в 2014 - 2024 годах предусматривает финансирование – 260 445,98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 г. – 10 895,67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городского округа (далее по тексту подпрограммы – Бюджет города Шарыпово) – 10 848,87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46,80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г. – 17 031,05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17 031,05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г. – 19 607,11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19 374,31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232,80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2017 г. – 19 498,03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19 249,73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2018 г. – 19 565,96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19 317,66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248,30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2019 г. – 28 625,19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20 851,09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7 774,10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2020 г. – 30 431,31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28 594,26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1 837,05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2021 г. – 32 309,81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31 527,51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782,30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2022 г. – 27 493,95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27 182,35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2023 г. – 27 493,95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Бюджет города Шарыпово – 27 182,35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2024 г. – 27 493,95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 города Шарыпово – 27 182,35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Краевой бюджет – 311,60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spacing w:before="0" w:after="1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color w:val="000000"/>
          <w:sz w:val="28"/>
          <w:szCs w:val="28"/>
          <w:lang w:val="ru-RU" w:eastAsia="ru-RU"/>
        </w:rPr>
      </w:pPr>
      <w:r/>
      <w:r>
        <w:rPr>
          <w:b/>
          <w:color w:val="000000"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color w:val="000000"/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Главными распорядителями бюджетных средств являются: Администрация города Шарыпово, Муниципальное казенное учреждение «Служба городского хозяйства».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color w:val="000000"/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756"/>
        <w:gridCol w:w="1475"/>
        <w:gridCol w:w="1882"/>
        <w:gridCol w:w="735"/>
        <w:gridCol w:w="735"/>
        <w:gridCol w:w="735"/>
        <w:gridCol w:w="735"/>
      </w:tblGrid>
      <w:tr>
        <w:trPr>
          <w:trHeight w:val="856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22" w:type="dxa"/>
            <w:gridSpan w:val="5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"Повышение безопасности дорожного движения" </w:t>
            </w:r>
          </w:p>
        </w:tc>
      </w:tr>
      <w:tr>
        <w:trPr>
          <w:trHeight w:val="315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3943" w:type="dxa"/>
            <w:gridSpan w:val="7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62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75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7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2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294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634" w:hRule="atLeast"/>
        </w:trPr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18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2021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5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Обеспечение безопасности дорожного движения</w:t>
            </w:r>
          </w:p>
        </w:tc>
      </w:tr>
      <w:tr>
        <w:trPr>
          <w:trHeight w:val="1410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91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7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Количество средств регулирования дорожного движения, работы по содержанию которых выполняются в объеме действующих нормативов 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8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2075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2095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2115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2115</w:t>
            </w:r>
          </w:p>
        </w:tc>
      </w:tr>
      <w:tr>
        <w:trPr>
          <w:trHeight w:val="832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Задача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128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7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Фактическое выполнение программы пассажирских перевозок по муниципальному заказу к утвержденной программе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8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отраслевой мониторинг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715"/>
        <w:gridCol w:w="1914"/>
        <w:gridCol w:w="787"/>
        <w:gridCol w:w="738"/>
        <w:gridCol w:w="1354"/>
        <w:gridCol w:w="546"/>
        <w:gridCol w:w="830"/>
        <w:gridCol w:w="830"/>
        <w:gridCol w:w="830"/>
        <w:gridCol w:w="1000"/>
        <w:gridCol w:w="2550"/>
      </w:tblGrid>
      <w:tr>
        <w:trPr>
          <w:trHeight w:val="1200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50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Приложение № 2</w:t>
              <w:br/>
              <w:t>к подпрограмме "Повышение безопасности дорожного движения"</w:t>
            </w:r>
          </w:p>
        </w:tc>
      </w:tr>
      <w:tr>
        <w:trPr>
          <w:trHeight w:val="454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094" w:type="dxa"/>
            <w:gridSpan w:val="11"/>
            <w:tcBorders/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315" w:hRule="atLeast"/>
        </w:trPr>
        <w:tc>
          <w:tcPr>
            <w:tcW w:w="58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3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5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Цели, задачи, мероприятия подпрограммы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ГРБС </w:t>
            </w:r>
          </w:p>
        </w:tc>
        <w:tc>
          <w:tcPr>
            <w:tcW w:w="342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Расходы по годам реализации программы, тыс.рублей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035" w:hRule="atLeast"/>
        </w:trPr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РзПр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итого на 2022-2024гг.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9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ЦЕЛЬ: Обеспечение безопасности дорожного движения</w:t>
            </w:r>
          </w:p>
        </w:tc>
      </w:tr>
      <w:tr>
        <w:trPr>
          <w:trHeight w:val="1354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1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6 433,80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(услуг) по содержанию, ремонту средств регулирования дорожного движения на участках автодорог местного значения 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0920087200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2 144,60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6 433,80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Надлежащее содержание светофорных объектов и дорожных знаков</w:t>
            </w:r>
          </w:p>
        </w:tc>
      </w:tr>
      <w:tr>
        <w:trPr>
          <w:trHeight w:val="1080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2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25 349,35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25 349,35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25 349,35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76 048,05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440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7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0920087210</w:t>
            </w:r>
          </w:p>
        </w:tc>
        <w:tc>
          <w:tcPr>
            <w:tcW w:w="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75 026,70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повышение безопасности дорожного движения</w:t>
            </w:r>
          </w:p>
        </w:tc>
        <w:tc>
          <w:tcPr>
            <w:tcW w:w="1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7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092R310601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311,60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934,80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7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3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28,85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86,55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27 493,95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82 481,85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ГРБС1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2 485,05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2 485,05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2 485,05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7 455,15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>
        <w:trPr>
          <w:trHeight w:val="1005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ГРБС2</w:t>
            </w:r>
          </w:p>
        </w:tc>
        <w:tc>
          <w:tcPr>
            <w:tcW w:w="19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8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25 008,90</w:t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75 026,70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№5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5103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</w:t>
      </w:r>
    </w:p>
    <w:p>
      <w:pPr>
        <w:pStyle w:val="Normal"/>
        <w:autoSpaceDE w:val="false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 основных мерах правового регулирования в сфере дорожного хозяйства, направленных на достижение цели и (или) задач муниципальной программы</w:t>
      </w:r>
    </w:p>
    <w:p>
      <w:pPr>
        <w:pStyle w:val="Normal"/>
        <w:autoSpaceDE w:val="false"/>
        <w:spacing w:lineRule="auto" w:line="27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22"/>
        <w:gridCol w:w="2273"/>
        <w:gridCol w:w="2148"/>
        <w:gridCol w:w="2267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Форма нормативного правового акта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Ожидаемый срок принятия нормативного правового акта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муниципальной программы: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Развитие современной и эффективной транспортной инфраструктуры, обеспечение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Задача: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Безопасность дорожного движения и повышение доступности транспортных услуг для населения муниципального образования город Шарыпово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2:</w:t>
            </w:r>
          </w:p>
          <w:p>
            <w:pPr>
              <w:pStyle w:val="Normal"/>
              <w:autoSpaceDE w:val="false"/>
              <w:spacing w:lineRule="auto" w:line="276" w:before="0" w:after="1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безопасности дорожного движения.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Распоряжение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Утверждение нормативов субсидирования и размеров субсидий на компенсацию расходов транспортных организаций на 2022 год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экономики Администрации города Шарыпово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76" w:before="0" w:after="200"/>
              <w:jc w:val="center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Январь 2022г. </w:t>
            </w:r>
          </w:p>
        </w:tc>
      </w:tr>
    </w:tbl>
    <w:p>
      <w:pPr>
        <w:pStyle w:val="Normal"/>
        <w:spacing w:before="0" w:after="160"/>
        <w:ind w:firstLine="851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Georg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3" w:hanging="975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5" w:hanging="375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3z0">
    <w:name w:val="WW8Num13z0"/>
    <w:qFormat/>
    <w:rPr/>
  </w:style>
  <w:style w:type="character" w:styleId="WW8Num19z0">
    <w:name w:val="WW8Num19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autoSpaceDE w:val="false"/>
      <w:bidi w:val="0"/>
      <w:spacing w:lineRule="auto" w:line="259" w:before="0" w:after="16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bidi="ar-SA" w:eastAsia="en-US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3">
    <w:name w:val="WW8Num13"/>
    <w:qFormat/>
  </w:style>
  <w:style w:type="numbering" w:styleId="WW8Num19">
    <w:name w:val="WW8Num19"/>
    <w:qFormat/>
  </w:style>
  <w:style w:type="numbering" w:styleId="WW8Num11">
    <w:name w:val="WW8Num11"/>
    <w:qFormat/>
  </w:style>
  <w:style w:type="numbering" w:styleId="WW8Num8">
    <w:name w:val="WW8Num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561D9DA64E53C0FCFD02859F57C0330CDB0159AB2A43EF90FAEE902B97DAC5F2A0DE69390A17597F7D6D931c428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Application>LibreOffice/7.6.4.1$Windows_X86_64 LibreOffice_project/e19e193f88cd6c0525a17fb7a176ed8e6a3e2aa1</Application>
  <AppVersion>15.0000</AppVersion>
  <Pages>39</Pages>
  <Words>5351</Words>
  <Characters>36826</Characters>
  <CharactersWithSpaces>44171</CharactersWithSpaces>
  <Paragraphs>1012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2019-06-14T03:03:00Z</cp:lastPrinted>
  <dcterms:modified xsi:type="dcterms:W3CDTF">2024-05-15T09:00:41Z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